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548DD" w14:textId="77777777" w:rsidR="004B5E3B" w:rsidRPr="006E255B" w:rsidRDefault="00EF34BF" w:rsidP="00930229">
      <w:pPr>
        <w:pStyle w:val="TOCHeading"/>
        <w:spacing w:before="0" w:after="120" w:line="240" w:lineRule="auto"/>
        <w:contextualSpacing w:val="0"/>
        <w:rPr>
          <w:spacing w:val="0"/>
          <w:sz w:val="52"/>
          <w:szCs w:val="52"/>
          <w:lang w:bidi="ar-SA"/>
        </w:rPr>
      </w:pPr>
      <w:r w:rsidRPr="006E255B">
        <w:rPr>
          <w:spacing w:val="0"/>
          <w:sz w:val="52"/>
          <w:szCs w:val="52"/>
          <w:lang w:bidi="ar-SA"/>
        </w:rPr>
        <w:t>Australia</w:t>
      </w:r>
      <w:r w:rsidR="000D6475">
        <w:rPr>
          <w:spacing w:val="0"/>
          <w:sz w:val="52"/>
          <w:szCs w:val="52"/>
          <w:lang w:bidi="ar-SA"/>
        </w:rPr>
        <w:t>’</w:t>
      </w:r>
      <w:r w:rsidRPr="006E255B">
        <w:rPr>
          <w:spacing w:val="0"/>
          <w:sz w:val="52"/>
          <w:szCs w:val="52"/>
          <w:lang w:bidi="ar-SA"/>
        </w:rPr>
        <w:t xml:space="preserve">s National </w:t>
      </w:r>
      <w:r w:rsidR="004B5E3B" w:rsidRPr="006E255B">
        <w:rPr>
          <w:spacing w:val="0"/>
          <w:sz w:val="52"/>
          <w:szCs w:val="52"/>
          <w:lang w:bidi="ar-SA"/>
        </w:rPr>
        <w:t xml:space="preserve">Antimicrobial Resistance Strategy – 2020 and Beyond </w:t>
      </w:r>
    </w:p>
    <w:p w14:paraId="4459364E" w14:textId="77777777" w:rsidR="00AB13D6" w:rsidRPr="006E255B" w:rsidRDefault="00AB13D6" w:rsidP="00AB13D6"/>
    <w:sdt>
      <w:sdtPr>
        <w:rPr>
          <w:smallCaps w:val="0"/>
          <w:spacing w:val="0"/>
          <w:sz w:val="22"/>
          <w:szCs w:val="22"/>
          <w:lang w:bidi="ar-SA"/>
        </w:rPr>
        <w:id w:val="-732542577"/>
        <w:docPartObj>
          <w:docPartGallery w:val="Table of Contents"/>
          <w:docPartUnique/>
        </w:docPartObj>
      </w:sdtPr>
      <w:sdtEndPr>
        <w:rPr>
          <w:b/>
          <w:bCs/>
          <w:noProof/>
        </w:rPr>
      </w:sdtEndPr>
      <w:sdtContent>
        <w:p w14:paraId="2D851705" w14:textId="77777777" w:rsidR="00EF7AFE" w:rsidRPr="006E255B" w:rsidRDefault="00EF7AFE" w:rsidP="00930229">
          <w:pPr>
            <w:pStyle w:val="TOCHeading"/>
            <w:spacing w:before="0" w:after="120" w:line="240" w:lineRule="auto"/>
            <w:contextualSpacing w:val="0"/>
            <w:rPr>
              <w:b/>
            </w:rPr>
          </w:pPr>
          <w:r w:rsidRPr="006E255B">
            <w:rPr>
              <w:b/>
            </w:rPr>
            <w:t>Contents</w:t>
          </w:r>
        </w:p>
        <w:p w14:paraId="36319DAF" w14:textId="016DF81F" w:rsidR="00897DA3" w:rsidRDefault="00EF7AFE">
          <w:pPr>
            <w:pStyle w:val="TOC1"/>
            <w:tabs>
              <w:tab w:val="right" w:leader="dot" w:pos="9016"/>
            </w:tabs>
            <w:rPr>
              <w:rFonts w:asciiTheme="minorHAnsi" w:eastAsiaTheme="minorEastAsia" w:hAnsiTheme="minorHAnsi" w:cstheme="minorBidi"/>
              <w:noProof/>
              <w:lang w:eastAsia="en-AU"/>
            </w:rPr>
          </w:pPr>
          <w:r w:rsidRPr="006E255B">
            <w:fldChar w:fldCharType="begin"/>
          </w:r>
          <w:r w:rsidRPr="006E255B">
            <w:instrText xml:space="preserve"> TOC \o "1-3" \h \z \u </w:instrText>
          </w:r>
          <w:r w:rsidRPr="006E255B">
            <w:fldChar w:fldCharType="separate"/>
          </w:r>
          <w:hyperlink w:anchor="_Toc18311676" w:history="1">
            <w:r w:rsidR="00897DA3" w:rsidRPr="00C70081">
              <w:rPr>
                <w:rStyle w:val="Hyperlink"/>
                <w:b/>
                <w:noProof/>
              </w:rPr>
              <w:t>Foreword</w:t>
            </w:r>
            <w:r w:rsidR="00897DA3">
              <w:rPr>
                <w:noProof/>
                <w:webHidden/>
              </w:rPr>
              <w:tab/>
            </w:r>
            <w:r w:rsidR="00897DA3">
              <w:rPr>
                <w:noProof/>
                <w:webHidden/>
              </w:rPr>
              <w:fldChar w:fldCharType="begin"/>
            </w:r>
            <w:r w:rsidR="00897DA3">
              <w:rPr>
                <w:noProof/>
                <w:webHidden/>
              </w:rPr>
              <w:instrText xml:space="preserve"> PAGEREF _Toc18311676 \h </w:instrText>
            </w:r>
            <w:r w:rsidR="00897DA3">
              <w:rPr>
                <w:noProof/>
                <w:webHidden/>
              </w:rPr>
            </w:r>
            <w:r w:rsidR="00897DA3">
              <w:rPr>
                <w:noProof/>
                <w:webHidden/>
              </w:rPr>
              <w:fldChar w:fldCharType="separate"/>
            </w:r>
            <w:r w:rsidR="00897DA3">
              <w:rPr>
                <w:noProof/>
                <w:webHidden/>
              </w:rPr>
              <w:t>2</w:t>
            </w:r>
            <w:r w:rsidR="00897DA3">
              <w:rPr>
                <w:noProof/>
                <w:webHidden/>
              </w:rPr>
              <w:fldChar w:fldCharType="end"/>
            </w:r>
          </w:hyperlink>
        </w:p>
        <w:p w14:paraId="287B1838" w14:textId="479E840E" w:rsidR="00897DA3" w:rsidRDefault="003A270F">
          <w:pPr>
            <w:pStyle w:val="TOC1"/>
            <w:tabs>
              <w:tab w:val="right" w:leader="dot" w:pos="9016"/>
            </w:tabs>
            <w:rPr>
              <w:rFonts w:asciiTheme="minorHAnsi" w:eastAsiaTheme="minorEastAsia" w:hAnsiTheme="minorHAnsi" w:cstheme="minorBidi"/>
              <w:noProof/>
              <w:lang w:eastAsia="en-AU"/>
            </w:rPr>
          </w:pPr>
          <w:hyperlink w:anchor="_Toc18311677" w:history="1">
            <w:r w:rsidR="00897DA3" w:rsidRPr="00C70081">
              <w:rPr>
                <w:rStyle w:val="Hyperlink"/>
                <w:b/>
                <w:noProof/>
              </w:rPr>
              <w:t>Glossary</w:t>
            </w:r>
            <w:r w:rsidR="00897DA3">
              <w:rPr>
                <w:noProof/>
                <w:webHidden/>
              </w:rPr>
              <w:tab/>
            </w:r>
            <w:r w:rsidR="00897DA3">
              <w:rPr>
                <w:noProof/>
                <w:webHidden/>
              </w:rPr>
              <w:fldChar w:fldCharType="begin"/>
            </w:r>
            <w:r w:rsidR="00897DA3">
              <w:rPr>
                <w:noProof/>
                <w:webHidden/>
              </w:rPr>
              <w:instrText xml:space="preserve"> PAGEREF _Toc18311677 \h </w:instrText>
            </w:r>
            <w:r w:rsidR="00897DA3">
              <w:rPr>
                <w:noProof/>
                <w:webHidden/>
              </w:rPr>
            </w:r>
            <w:r w:rsidR="00897DA3">
              <w:rPr>
                <w:noProof/>
                <w:webHidden/>
              </w:rPr>
              <w:fldChar w:fldCharType="separate"/>
            </w:r>
            <w:r w:rsidR="00897DA3">
              <w:rPr>
                <w:noProof/>
                <w:webHidden/>
              </w:rPr>
              <w:t>3</w:t>
            </w:r>
            <w:r w:rsidR="00897DA3">
              <w:rPr>
                <w:noProof/>
                <w:webHidden/>
              </w:rPr>
              <w:fldChar w:fldCharType="end"/>
            </w:r>
          </w:hyperlink>
        </w:p>
        <w:p w14:paraId="155CE76D" w14:textId="5A78D734" w:rsidR="00897DA3" w:rsidRDefault="003A270F">
          <w:pPr>
            <w:pStyle w:val="TOC1"/>
            <w:tabs>
              <w:tab w:val="right" w:leader="dot" w:pos="9016"/>
            </w:tabs>
            <w:rPr>
              <w:rFonts w:asciiTheme="minorHAnsi" w:eastAsiaTheme="minorEastAsia" w:hAnsiTheme="minorHAnsi" w:cstheme="minorBidi"/>
              <w:noProof/>
              <w:lang w:eastAsia="en-AU"/>
            </w:rPr>
          </w:pPr>
          <w:hyperlink w:anchor="_Toc18311678" w:history="1">
            <w:r w:rsidR="00897DA3" w:rsidRPr="00C70081">
              <w:rPr>
                <w:rStyle w:val="Hyperlink"/>
                <w:b/>
                <w:noProof/>
              </w:rPr>
              <w:t>Australia’s 20 Year Vision for Antimicrobial Resistance</w:t>
            </w:r>
            <w:r w:rsidR="00897DA3">
              <w:rPr>
                <w:noProof/>
                <w:webHidden/>
              </w:rPr>
              <w:tab/>
            </w:r>
            <w:r w:rsidR="00897DA3">
              <w:rPr>
                <w:noProof/>
                <w:webHidden/>
              </w:rPr>
              <w:fldChar w:fldCharType="begin"/>
            </w:r>
            <w:r w:rsidR="00897DA3">
              <w:rPr>
                <w:noProof/>
                <w:webHidden/>
              </w:rPr>
              <w:instrText xml:space="preserve"> PAGEREF _Toc18311678 \h </w:instrText>
            </w:r>
            <w:r w:rsidR="00897DA3">
              <w:rPr>
                <w:noProof/>
                <w:webHidden/>
              </w:rPr>
            </w:r>
            <w:r w:rsidR="00897DA3">
              <w:rPr>
                <w:noProof/>
                <w:webHidden/>
              </w:rPr>
              <w:fldChar w:fldCharType="separate"/>
            </w:r>
            <w:r w:rsidR="00897DA3">
              <w:rPr>
                <w:noProof/>
                <w:webHidden/>
              </w:rPr>
              <w:t>4</w:t>
            </w:r>
            <w:r w:rsidR="00897DA3">
              <w:rPr>
                <w:noProof/>
                <w:webHidden/>
              </w:rPr>
              <w:fldChar w:fldCharType="end"/>
            </w:r>
          </w:hyperlink>
        </w:p>
        <w:p w14:paraId="2826F43A" w14:textId="03F8CB91" w:rsidR="00897DA3" w:rsidRDefault="003A270F">
          <w:pPr>
            <w:pStyle w:val="TOC1"/>
            <w:tabs>
              <w:tab w:val="right" w:leader="dot" w:pos="9016"/>
            </w:tabs>
            <w:rPr>
              <w:rFonts w:asciiTheme="minorHAnsi" w:eastAsiaTheme="minorEastAsia" w:hAnsiTheme="minorHAnsi" w:cstheme="minorBidi"/>
              <w:noProof/>
              <w:lang w:eastAsia="en-AU"/>
            </w:rPr>
          </w:pPr>
          <w:hyperlink w:anchor="_Toc18311679" w:history="1">
            <w:r w:rsidR="00897DA3" w:rsidRPr="00C70081">
              <w:rPr>
                <w:rStyle w:val="Hyperlink"/>
                <w:b/>
                <w:noProof/>
              </w:rPr>
              <w:t>Objectives and Priority Areas for Action</w:t>
            </w:r>
            <w:r w:rsidR="00897DA3">
              <w:rPr>
                <w:noProof/>
                <w:webHidden/>
              </w:rPr>
              <w:tab/>
            </w:r>
            <w:r w:rsidR="00897DA3">
              <w:rPr>
                <w:noProof/>
                <w:webHidden/>
              </w:rPr>
              <w:fldChar w:fldCharType="begin"/>
            </w:r>
            <w:r w:rsidR="00897DA3">
              <w:rPr>
                <w:noProof/>
                <w:webHidden/>
              </w:rPr>
              <w:instrText xml:space="preserve"> PAGEREF _Toc18311679 \h </w:instrText>
            </w:r>
            <w:r w:rsidR="00897DA3">
              <w:rPr>
                <w:noProof/>
                <w:webHidden/>
              </w:rPr>
            </w:r>
            <w:r w:rsidR="00897DA3">
              <w:rPr>
                <w:noProof/>
                <w:webHidden/>
              </w:rPr>
              <w:fldChar w:fldCharType="separate"/>
            </w:r>
            <w:r w:rsidR="00897DA3">
              <w:rPr>
                <w:noProof/>
                <w:webHidden/>
              </w:rPr>
              <w:t>4</w:t>
            </w:r>
            <w:r w:rsidR="00897DA3">
              <w:rPr>
                <w:noProof/>
                <w:webHidden/>
              </w:rPr>
              <w:fldChar w:fldCharType="end"/>
            </w:r>
          </w:hyperlink>
        </w:p>
        <w:p w14:paraId="10630607" w14:textId="69F5BAB9" w:rsidR="00897DA3" w:rsidRDefault="003A270F">
          <w:pPr>
            <w:pStyle w:val="TOC2"/>
            <w:tabs>
              <w:tab w:val="left" w:pos="660"/>
              <w:tab w:val="right" w:leader="dot" w:pos="9016"/>
            </w:tabs>
            <w:rPr>
              <w:rFonts w:asciiTheme="minorHAnsi" w:eastAsiaTheme="minorEastAsia" w:hAnsiTheme="minorHAnsi" w:cstheme="minorBidi"/>
              <w:noProof/>
              <w:lang w:eastAsia="en-AU"/>
            </w:rPr>
          </w:pPr>
          <w:hyperlink w:anchor="_Toc18311687" w:history="1">
            <w:r w:rsidR="00897DA3" w:rsidRPr="00C70081">
              <w:rPr>
                <w:rStyle w:val="Hyperlink"/>
                <w:b/>
                <w:noProof/>
              </w:rPr>
              <w:t>1.</w:t>
            </w:r>
            <w:r w:rsidR="00897DA3">
              <w:rPr>
                <w:rFonts w:asciiTheme="minorHAnsi" w:eastAsiaTheme="minorEastAsia" w:hAnsiTheme="minorHAnsi" w:cstheme="minorBidi"/>
                <w:noProof/>
                <w:lang w:eastAsia="en-AU"/>
              </w:rPr>
              <w:tab/>
            </w:r>
            <w:r w:rsidR="00897DA3" w:rsidRPr="00C70081">
              <w:rPr>
                <w:rStyle w:val="Hyperlink"/>
                <w:b/>
                <w:noProof/>
              </w:rPr>
              <w:t>Clear Governance for Antimicrobial Resistance Initiatives</w:t>
            </w:r>
            <w:r w:rsidR="00897DA3">
              <w:rPr>
                <w:noProof/>
                <w:webHidden/>
              </w:rPr>
              <w:tab/>
            </w:r>
            <w:r w:rsidR="00897DA3">
              <w:rPr>
                <w:noProof/>
                <w:webHidden/>
              </w:rPr>
              <w:fldChar w:fldCharType="begin"/>
            </w:r>
            <w:r w:rsidR="00897DA3">
              <w:rPr>
                <w:noProof/>
                <w:webHidden/>
              </w:rPr>
              <w:instrText xml:space="preserve"> PAGEREF _Toc18311687 \h </w:instrText>
            </w:r>
            <w:r w:rsidR="00897DA3">
              <w:rPr>
                <w:noProof/>
                <w:webHidden/>
              </w:rPr>
            </w:r>
            <w:r w:rsidR="00897DA3">
              <w:rPr>
                <w:noProof/>
                <w:webHidden/>
              </w:rPr>
              <w:fldChar w:fldCharType="separate"/>
            </w:r>
            <w:r w:rsidR="00897DA3">
              <w:rPr>
                <w:noProof/>
                <w:webHidden/>
              </w:rPr>
              <w:t>6</w:t>
            </w:r>
            <w:r w:rsidR="00897DA3">
              <w:rPr>
                <w:noProof/>
                <w:webHidden/>
              </w:rPr>
              <w:fldChar w:fldCharType="end"/>
            </w:r>
          </w:hyperlink>
        </w:p>
        <w:p w14:paraId="41EB065F" w14:textId="04F2623D" w:rsidR="00897DA3" w:rsidRDefault="003A270F">
          <w:pPr>
            <w:pStyle w:val="TOC2"/>
            <w:tabs>
              <w:tab w:val="left" w:pos="660"/>
              <w:tab w:val="right" w:leader="dot" w:pos="9016"/>
            </w:tabs>
            <w:rPr>
              <w:rFonts w:asciiTheme="minorHAnsi" w:eastAsiaTheme="minorEastAsia" w:hAnsiTheme="minorHAnsi" w:cstheme="minorBidi"/>
              <w:noProof/>
              <w:lang w:eastAsia="en-AU"/>
            </w:rPr>
          </w:pPr>
          <w:hyperlink w:anchor="_Toc18311688" w:history="1">
            <w:r w:rsidR="00897DA3" w:rsidRPr="00C70081">
              <w:rPr>
                <w:rStyle w:val="Hyperlink"/>
                <w:b/>
                <w:noProof/>
              </w:rPr>
              <w:t>2.</w:t>
            </w:r>
            <w:r w:rsidR="00897DA3">
              <w:rPr>
                <w:rFonts w:asciiTheme="minorHAnsi" w:eastAsiaTheme="minorEastAsia" w:hAnsiTheme="minorHAnsi" w:cstheme="minorBidi"/>
                <w:noProof/>
                <w:lang w:eastAsia="en-AU"/>
              </w:rPr>
              <w:tab/>
            </w:r>
            <w:r w:rsidR="00897DA3" w:rsidRPr="00C70081">
              <w:rPr>
                <w:rStyle w:val="Hyperlink"/>
                <w:b/>
                <w:noProof/>
              </w:rPr>
              <w:t>Prevention and Control of Infections and the Spread of Resistance</w:t>
            </w:r>
            <w:r w:rsidR="00897DA3">
              <w:rPr>
                <w:noProof/>
                <w:webHidden/>
              </w:rPr>
              <w:tab/>
            </w:r>
            <w:r w:rsidR="00897DA3">
              <w:rPr>
                <w:noProof/>
                <w:webHidden/>
              </w:rPr>
              <w:fldChar w:fldCharType="begin"/>
            </w:r>
            <w:r w:rsidR="00897DA3">
              <w:rPr>
                <w:noProof/>
                <w:webHidden/>
              </w:rPr>
              <w:instrText xml:space="preserve"> PAGEREF _Toc18311688 \h </w:instrText>
            </w:r>
            <w:r w:rsidR="00897DA3">
              <w:rPr>
                <w:noProof/>
                <w:webHidden/>
              </w:rPr>
            </w:r>
            <w:r w:rsidR="00897DA3">
              <w:rPr>
                <w:noProof/>
                <w:webHidden/>
              </w:rPr>
              <w:fldChar w:fldCharType="separate"/>
            </w:r>
            <w:r w:rsidR="00897DA3">
              <w:rPr>
                <w:noProof/>
                <w:webHidden/>
              </w:rPr>
              <w:t>7</w:t>
            </w:r>
            <w:r w:rsidR="00897DA3">
              <w:rPr>
                <w:noProof/>
                <w:webHidden/>
              </w:rPr>
              <w:fldChar w:fldCharType="end"/>
            </w:r>
          </w:hyperlink>
        </w:p>
        <w:p w14:paraId="70603D74" w14:textId="6D5E8163" w:rsidR="00897DA3" w:rsidRDefault="003A270F">
          <w:pPr>
            <w:pStyle w:val="TOC2"/>
            <w:tabs>
              <w:tab w:val="left" w:pos="660"/>
              <w:tab w:val="right" w:leader="dot" w:pos="9016"/>
            </w:tabs>
            <w:rPr>
              <w:rFonts w:asciiTheme="minorHAnsi" w:eastAsiaTheme="minorEastAsia" w:hAnsiTheme="minorHAnsi" w:cstheme="minorBidi"/>
              <w:noProof/>
              <w:lang w:eastAsia="en-AU"/>
            </w:rPr>
          </w:pPr>
          <w:hyperlink w:anchor="_Toc18311689" w:history="1">
            <w:r w:rsidR="00897DA3" w:rsidRPr="00C70081">
              <w:rPr>
                <w:rStyle w:val="Hyperlink"/>
                <w:rFonts w:cs="Calibri Light"/>
                <w:b/>
                <w:noProof/>
              </w:rPr>
              <w:t>3.</w:t>
            </w:r>
            <w:r w:rsidR="00897DA3">
              <w:rPr>
                <w:rFonts w:asciiTheme="minorHAnsi" w:eastAsiaTheme="minorEastAsia" w:hAnsiTheme="minorHAnsi" w:cstheme="minorBidi"/>
                <w:noProof/>
                <w:lang w:eastAsia="en-AU"/>
              </w:rPr>
              <w:tab/>
            </w:r>
            <w:r w:rsidR="00897DA3" w:rsidRPr="00C70081">
              <w:rPr>
                <w:rStyle w:val="Hyperlink"/>
                <w:b/>
                <w:noProof/>
              </w:rPr>
              <w:t>Greater Engagement in the Combat Against Resistance</w:t>
            </w:r>
            <w:r w:rsidR="00897DA3">
              <w:rPr>
                <w:noProof/>
                <w:webHidden/>
              </w:rPr>
              <w:tab/>
            </w:r>
            <w:r w:rsidR="00897DA3">
              <w:rPr>
                <w:noProof/>
                <w:webHidden/>
              </w:rPr>
              <w:fldChar w:fldCharType="begin"/>
            </w:r>
            <w:r w:rsidR="00897DA3">
              <w:rPr>
                <w:noProof/>
                <w:webHidden/>
              </w:rPr>
              <w:instrText xml:space="preserve"> PAGEREF _Toc18311689 \h </w:instrText>
            </w:r>
            <w:r w:rsidR="00897DA3">
              <w:rPr>
                <w:noProof/>
                <w:webHidden/>
              </w:rPr>
            </w:r>
            <w:r w:rsidR="00897DA3">
              <w:rPr>
                <w:noProof/>
                <w:webHidden/>
              </w:rPr>
              <w:fldChar w:fldCharType="separate"/>
            </w:r>
            <w:r w:rsidR="00897DA3">
              <w:rPr>
                <w:noProof/>
                <w:webHidden/>
              </w:rPr>
              <w:t>8</w:t>
            </w:r>
            <w:r w:rsidR="00897DA3">
              <w:rPr>
                <w:noProof/>
                <w:webHidden/>
              </w:rPr>
              <w:fldChar w:fldCharType="end"/>
            </w:r>
          </w:hyperlink>
        </w:p>
        <w:p w14:paraId="37228E44" w14:textId="74689F01" w:rsidR="00897DA3" w:rsidRDefault="003A270F">
          <w:pPr>
            <w:pStyle w:val="TOC2"/>
            <w:tabs>
              <w:tab w:val="left" w:pos="660"/>
              <w:tab w:val="right" w:leader="dot" w:pos="9016"/>
            </w:tabs>
            <w:rPr>
              <w:rFonts w:asciiTheme="minorHAnsi" w:eastAsiaTheme="minorEastAsia" w:hAnsiTheme="minorHAnsi" w:cstheme="minorBidi"/>
              <w:noProof/>
              <w:lang w:eastAsia="en-AU"/>
            </w:rPr>
          </w:pPr>
          <w:hyperlink w:anchor="_Toc18311690" w:history="1">
            <w:r w:rsidR="00897DA3" w:rsidRPr="00C70081">
              <w:rPr>
                <w:rStyle w:val="Hyperlink"/>
                <w:b/>
                <w:noProof/>
              </w:rPr>
              <w:t>4.</w:t>
            </w:r>
            <w:r w:rsidR="00897DA3">
              <w:rPr>
                <w:rFonts w:asciiTheme="minorHAnsi" w:eastAsiaTheme="minorEastAsia" w:hAnsiTheme="minorHAnsi" w:cstheme="minorBidi"/>
                <w:noProof/>
                <w:lang w:eastAsia="en-AU"/>
              </w:rPr>
              <w:tab/>
            </w:r>
            <w:r w:rsidR="00897DA3" w:rsidRPr="00C70081">
              <w:rPr>
                <w:rStyle w:val="Hyperlink"/>
                <w:b/>
                <w:noProof/>
              </w:rPr>
              <w:t>Appropriate Usage and Stewardship Practices</w:t>
            </w:r>
            <w:r w:rsidR="00897DA3">
              <w:rPr>
                <w:noProof/>
                <w:webHidden/>
              </w:rPr>
              <w:tab/>
            </w:r>
            <w:r w:rsidR="00897DA3">
              <w:rPr>
                <w:noProof/>
                <w:webHidden/>
              </w:rPr>
              <w:fldChar w:fldCharType="begin"/>
            </w:r>
            <w:r w:rsidR="00897DA3">
              <w:rPr>
                <w:noProof/>
                <w:webHidden/>
              </w:rPr>
              <w:instrText xml:space="preserve"> PAGEREF _Toc18311690 \h </w:instrText>
            </w:r>
            <w:r w:rsidR="00897DA3">
              <w:rPr>
                <w:noProof/>
                <w:webHidden/>
              </w:rPr>
            </w:r>
            <w:r w:rsidR="00897DA3">
              <w:rPr>
                <w:noProof/>
                <w:webHidden/>
              </w:rPr>
              <w:fldChar w:fldCharType="separate"/>
            </w:r>
            <w:r w:rsidR="00897DA3">
              <w:rPr>
                <w:noProof/>
                <w:webHidden/>
              </w:rPr>
              <w:t>9</w:t>
            </w:r>
            <w:r w:rsidR="00897DA3">
              <w:rPr>
                <w:noProof/>
                <w:webHidden/>
              </w:rPr>
              <w:fldChar w:fldCharType="end"/>
            </w:r>
          </w:hyperlink>
        </w:p>
        <w:p w14:paraId="43B89BBF" w14:textId="5673261E" w:rsidR="00897DA3" w:rsidRDefault="003A270F">
          <w:pPr>
            <w:pStyle w:val="TOC2"/>
            <w:tabs>
              <w:tab w:val="left" w:pos="660"/>
              <w:tab w:val="right" w:leader="dot" w:pos="9016"/>
            </w:tabs>
            <w:rPr>
              <w:rFonts w:asciiTheme="minorHAnsi" w:eastAsiaTheme="minorEastAsia" w:hAnsiTheme="minorHAnsi" w:cstheme="minorBidi"/>
              <w:noProof/>
              <w:lang w:eastAsia="en-AU"/>
            </w:rPr>
          </w:pPr>
          <w:hyperlink w:anchor="_Toc18311691" w:history="1">
            <w:r w:rsidR="00897DA3" w:rsidRPr="00C70081">
              <w:rPr>
                <w:rStyle w:val="Hyperlink"/>
                <w:b/>
                <w:bCs/>
                <w:noProof/>
              </w:rPr>
              <w:t>5.</w:t>
            </w:r>
            <w:r w:rsidR="00897DA3">
              <w:rPr>
                <w:rFonts w:asciiTheme="minorHAnsi" w:eastAsiaTheme="minorEastAsia" w:hAnsiTheme="minorHAnsi" w:cstheme="minorBidi"/>
                <w:noProof/>
                <w:lang w:eastAsia="en-AU"/>
              </w:rPr>
              <w:tab/>
            </w:r>
            <w:r w:rsidR="00897DA3" w:rsidRPr="00C70081">
              <w:rPr>
                <w:rStyle w:val="Hyperlink"/>
                <w:b/>
                <w:bCs/>
                <w:noProof/>
              </w:rPr>
              <w:t>Integrated Surveillance and Response to Resistance and Usage</w:t>
            </w:r>
            <w:r w:rsidR="00897DA3">
              <w:rPr>
                <w:noProof/>
                <w:webHidden/>
              </w:rPr>
              <w:tab/>
            </w:r>
            <w:r w:rsidR="00897DA3">
              <w:rPr>
                <w:noProof/>
                <w:webHidden/>
              </w:rPr>
              <w:fldChar w:fldCharType="begin"/>
            </w:r>
            <w:r w:rsidR="00897DA3">
              <w:rPr>
                <w:noProof/>
                <w:webHidden/>
              </w:rPr>
              <w:instrText xml:space="preserve"> PAGEREF _Toc18311691 \h </w:instrText>
            </w:r>
            <w:r w:rsidR="00897DA3">
              <w:rPr>
                <w:noProof/>
                <w:webHidden/>
              </w:rPr>
            </w:r>
            <w:r w:rsidR="00897DA3">
              <w:rPr>
                <w:noProof/>
                <w:webHidden/>
              </w:rPr>
              <w:fldChar w:fldCharType="separate"/>
            </w:r>
            <w:r w:rsidR="00897DA3">
              <w:rPr>
                <w:noProof/>
                <w:webHidden/>
              </w:rPr>
              <w:t>10</w:t>
            </w:r>
            <w:r w:rsidR="00897DA3">
              <w:rPr>
                <w:noProof/>
                <w:webHidden/>
              </w:rPr>
              <w:fldChar w:fldCharType="end"/>
            </w:r>
          </w:hyperlink>
        </w:p>
        <w:p w14:paraId="1C3BCE73" w14:textId="2C108C91" w:rsidR="00897DA3" w:rsidRDefault="003A270F">
          <w:pPr>
            <w:pStyle w:val="TOC2"/>
            <w:tabs>
              <w:tab w:val="left" w:pos="660"/>
              <w:tab w:val="right" w:leader="dot" w:pos="9016"/>
            </w:tabs>
            <w:rPr>
              <w:rFonts w:asciiTheme="minorHAnsi" w:eastAsiaTheme="minorEastAsia" w:hAnsiTheme="minorHAnsi" w:cstheme="minorBidi"/>
              <w:noProof/>
              <w:lang w:eastAsia="en-AU"/>
            </w:rPr>
          </w:pPr>
          <w:hyperlink w:anchor="_Toc18311692" w:history="1">
            <w:r w:rsidR="00897DA3" w:rsidRPr="00C70081">
              <w:rPr>
                <w:rStyle w:val="Hyperlink"/>
                <w:b/>
                <w:noProof/>
              </w:rPr>
              <w:t>6.</w:t>
            </w:r>
            <w:r w:rsidR="00897DA3">
              <w:rPr>
                <w:rFonts w:asciiTheme="minorHAnsi" w:eastAsiaTheme="minorEastAsia" w:hAnsiTheme="minorHAnsi" w:cstheme="minorBidi"/>
                <w:noProof/>
                <w:lang w:eastAsia="en-AU"/>
              </w:rPr>
              <w:tab/>
            </w:r>
            <w:r w:rsidR="00897DA3" w:rsidRPr="00C70081">
              <w:rPr>
                <w:rStyle w:val="Hyperlink"/>
                <w:b/>
                <w:noProof/>
              </w:rPr>
              <w:t>A Strong Collaborative Research Agenda Across All Sectors</w:t>
            </w:r>
            <w:r w:rsidR="00897DA3">
              <w:rPr>
                <w:noProof/>
                <w:webHidden/>
              </w:rPr>
              <w:tab/>
            </w:r>
            <w:r w:rsidR="00897DA3">
              <w:rPr>
                <w:noProof/>
                <w:webHidden/>
              </w:rPr>
              <w:fldChar w:fldCharType="begin"/>
            </w:r>
            <w:r w:rsidR="00897DA3">
              <w:rPr>
                <w:noProof/>
                <w:webHidden/>
              </w:rPr>
              <w:instrText xml:space="preserve"> PAGEREF _Toc18311692 \h </w:instrText>
            </w:r>
            <w:r w:rsidR="00897DA3">
              <w:rPr>
                <w:noProof/>
                <w:webHidden/>
              </w:rPr>
            </w:r>
            <w:r w:rsidR="00897DA3">
              <w:rPr>
                <w:noProof/>
                <w:webHidden/>
              </w:rPr>
              <w:fldChar w:fldCharType="separate"/>
            </w:r>
            <w:r w:rsidR="00897DA3">
              <w:rPr>
                <w:noProof/>
                <w:webHidden/>
              </w:rPr>
              <w:t>11</w:t>
            </w:r>
            <w:r w:rsidR="00897DA3">
              <w:rPr>
                <w:noProof/>
                <w:webHidden/>
              </w:rPr>
              <w:fldChar w:fldCharType="end"/>
            </w:r>
          </w:hyperlink>
        </w:p>
        <w:p w14:paraId="3D6BC002" w14:textId="06802033" w:rsidR="00897DA3" w:rsidRDefault="003A270F">
          <w:pPr>
            <w:pStyle w:val="TOC2"/>
            <w:tabs>
              <w:tab w:val="left" w:pos="660"/>
              <w:tab w:val="right" w:leader="dot" w:pos="9016"/>
            </w:tabs>
            <w:rPr>
              <w:rFonts w:asciiTheme="minorHAnsi" w:eastAsiaTheme="minorEastAsia" w:hAnsiTheme="minorHAnsi" w:cstheme="minorBidi"/>
              <w:noProof/>
              <w:lang w:eastAsia="en-AU"/>
            </w:rPr>
          </w:pPr>
          <w:hyperlink w:anchor="_Toc18311693" w:history="1">
            <w:r w:rsidR="00897DA3" w:rsidRPr="00C70081">
              <w:rPr>
                <w:rStyle w:val="Hyperlink"/>
                <w:b/>
                <w:noProof/>
              </w:rPr>
              <w:t>7.</w:t>
            </w:r>
            <w:r w:rsidR="00897DA3">
              <w:rPr>
                <w:rFonts w:asciiTheme="minorHAnsi" w:eastAsiaTheme="minorEastAsia" w:hAnsiTheme="minorHAnsi" w:cstheme="minorBidi"/>
                <w:noProof/>
                <w:lang w:eastAsia="en-AU"/>
              </w:rPr>
              <w:tab/>
            </w:r>
            <w:r w:rsidR="00897DA3" w:rsidRPr="00C70081">
              <w:rPr>
                <w:rStyle w:val="Hyperlink"/>
                <w:b/>
                <w:noProof/>
              </w:rPr>
              <w:t>Strengthen Global Collaboration and Partnerships</w:t>
            </w:r>
            <w:r w:rsidR="00897DA3">
              <w:rPr>
                <w:noProof/>
                <w:webHidden/>
              </w:rPr>
              <w:tab/>
            </w:r>
            <w:r w:rsidR="00897DA3">
              <w:rPr>
                <w:noProof/>
                <w:webHidden/>
              </w:rPr>
              <w:fldChar w:fldCharType="begin"/>
            </w:r>
            <w:r w:rsidR="00897DA3">
              <w:rPr>
                <w:noProof/>
                <w:webHidden/>
              </w:rPr>
              <w:instrText xml:space="preserve"> PAGEREF _Toc18311693 \h </w:instrText>
            </w:r>
            <w:r w:rsidR="00897DA3">
              <w:rPr>
                <w:noProof/>
                <w:webHidden/>
              </w:rPr>
            </w:r>
            <w:r w:rsidR="00897DA3">
              <w:rPr>
                <w:noProof/>
                <w:webHidden/>
              </w:rPr>
              <w:fldChar w:fldCharType="separate"/>
            </w:r>
            <w:r w:rsidR="00897DA3">
              <w:rPr>
                <w:noProof/>
                <w:webHidden/>
              </w:rPr>
              <w:t>12</w:t>
            </w:r>
            <w:r w:rsidR="00897DA3">
              <w:rPr>
                <w:noProof/>
                <w:webHidden/>
              </w:rPr>
              <w:fldChar w:fldCharType="end"/>
            </w:r>
          </w:hyperlink>
        </w:p>
        <w:p w14:paraId="69B1E956" w14:textId="21491708" w:rsidR="00897DA3" w:rsidRDefault="003A270F">
          <w:pPr>
            <w:pStyle w:val="TOC1"/>
            <w:tabs>
              <w:tab w:val="right" w:leader="dot" w:pos="9016"/>
            </w:tabs>
            <w:rPr>
              <w:rFonts w:asciiTheme="minorHAnsi" w:eastAsiaTheme="minorEastAsia" w:hAnsiTheme="minorHAnsi" w:cstheme="minorBidi"/>
              <w:noProof/>
              <w:lang w:eastAsia="en-AU"/>
            </w:rPr>
          </w:pPr>
          <w:hyperlink w:anchor="_Toc18311694" w:history="1">
            <w:r w:rsidR="00897DA3" w:rsidRPr="00C70081">
              <w:rPr>
                <w:rStyle w:val="Hyperlink"/>
                <w:b/>
                <w:noProof/>
              </w:rPr>
              <w:t>Taking Action and Measuring Success</w:t>
            </w:r>
            <w:r w:rsidR="00897DA3">
              <w:rPr>
                <w:noProof/>
                <w:webHidden/>
              </w:rPr>
              <w:tab/>
            </w:r>
            <w:r w:rsidR="00897DA3">
              <w:rPr>
                <w:noProof/>
                <w:webHidden/>
              </w:rPr>
              <w:fldChar w:fldCharType="begin"/>
            </w:r>
            <w:r w:rsidR="00897DA3">
              <w:rPr>
                <w:noProof/>
                <w:webHidden/>
              </w:rPr>
              <w:instrText xml:space="preserve"> PAGEREF _Toc18311694 \h </w:instrText>
            </w:r>
            <w:r w:rsidR="00897DA3">
              <w:rPr>
                <w:noProof/>
                <w:webHidden/>
              </w:rPr>
            </w:r>
            <w:r w:rsidR="00897DA3">
              <w:rPr>
                <w:noProof/>
                <w:webHidden/>
              </w:rPr>
              <w:fldChar w:fldCharType="separate"/>
            </w:r>
            <w:r w:rsidR="00897DA3">
              <w:rPr>
                <w:noProof/>
                <w:webHidden/>
              </w:rPr>
              <w:t>13</w:t>
            </w:r>
            <w:r w:rsidR="00897DA3">
              <w:rPr>
                <w:noProof/>
                <w:webHidden/>
              </w:rPr>
              <w:fldChar w:fldCharType="end"/>
            </w:r>
          </w:hyperlink>
        </w:p>
        <w:p w14:paraId="6951758F" w14:textId="7578157A" w:rsidR="00897DA3" w:rsidRDefault="003A270F">
          <w:pPr>
            <w:pStyle w:val="TOC1"/>
            <w:tabs>
              <w:tab w:val="right" w:leader="dot" w:pos="9016"/>
            </w:tabs>
            <w:rPr>
              <w:rFonts w:asciiTheme="minorHAnsi" w:eastAsiaTheme="minorEastAsia" w:hAnsiTheme="minorHAnsi" w:cstheme="minorBidi"/>
              <w:noProof/>
              <w:lang w:eastAsia="en-AU"/>
            </w:rPr>
          </w:pPr>
          <w:hyperlink w:anchor="_Toc18311695" w:history="1">
            <w:r w:rsidR="00897DA3" w:rsidRPr="00C70081">
              <w:rPr>
                <w:rStyle w:val="Hyperlink"/>
                <w:b/>
                <w:noProof/>
              </w:rPr>
              <w:t>Working Together as One Health</w:t>
            </w:r>
            <w:r w:rsidR="00897DA3">
              <w:rPr>
                <w:noProof/>
                <w:webHidden/>
              </w:rPr>
              <w:tab/>
            </w:r>
            <w:r w:rsidR="00897DA3">
              <w:rPr>
                <w:noProof/>
                <w:webHidden/>
              </w:rPr>
              <w:fldChar w:fldCharType="begin"/>
            </w:r>
            <w:r w:rsidR="00897DA3">
              <w:rPr>
                <w:noProof/>
                <w:webHidden/>
              </w:rPr>
              <w:instrText xml:space="preserve"> PAGEREF _Toc18311695 \h </w:instrText>
            </w:r>
            <w:r w:rsidR="00897DA3">
              <w:rPr>
                <w:noProof/>
                <w:webHidden/>
              </w:rPr>
            </w:r>
            <w:r w:rsidR="00897DA3">
              <w:rPr>
                <w:noProof/>
                <w:webHidden/>
              </w:rPr>
              <w:fldChar w:fldCharType="separate"/>
            </w:r>
            <w:r w:rsidR="00897DA3">
              <w:rPr>
                <w:noProof/>
                <w:webHidden/>
              </w:rPr>
              <w:t>14</w:t>
            </w:r>
            <w:r w:rsidR="00897DA3">
              <w:rPr>
                <w:noProof/>
                <w:webHidden/>
              </w:rPr>
              <w:fldChar w:fldCharType="end"/>
            </w:r>
          </w:hyperlink>
        </w:p>
        <w:p w14:paraId="5831DAB1" w14:textId="27C7C732" w:rsidR="00EF7AFE" w:rsidRPr="006E255B" w:rsidRDefault="00EF7AFE" w:rsidP="00930229">
          <w:pPr>
            <w:spacing w:after="120" w:line="240" w:lineRule="auto"/>
          </w:pPr>
          <w:r w:rsidRPr="006E255B">
            <w:rPr>
              <w:b/>
              <w:bCs/>
              <w:noProof/>
            </w:rPr>
            <w:fldChar w:fldCharType="end"/>
          </w:r>
        </w:p>
      </w:sdtContent>
    </w:sdt>
    <w:p w14:paraId="0B9F9D88" w14:textId="77777777" w:rsidR="00EF7AFE" w:rsidRPr="006E255B" w:rsidRDefault="00EF7AFE" w:rsidP="00930229">
      <w:pPr>
        <w:spacing w:after="120" w:line="240" w:lineRule="auto"/>
        <w:rPr>
          <w:rFonts w:ascii="Arial" w:hAnsi="Arial" w:cs="Arial"/>
          <w:b/>
          <w:sz w:val="24"/>
          <w:szCs w:val="24"/>
        </w:rPr>
      </w:pPr>
    </w:p>
    <w:p w14:paraId="056B2D19" w14:textId="77777777" w:rsidR="0062142A" w:rsidRPr="006E255B" w:rsidRDefault="0062142A">
      <w:pPr>
        <w:rPr>
          <w:b/>
          <w:smallCaps/>
          <w:spacing w:val="5"/>
          <w:sz w:val="36"/>
          <w:szCs w:val="36"/>
        </w:rPr>
      </w:pPr>
      <w:r w:rsidRPr="006E255B">
        <w:rPr>
          <w:b/>
        </w:rPr>
        <w:br w:type="page"/>
      </w:r>
      <w:bookmarkStart w:id="0" w:name="_GoBack"/>
      <w:bookmarkEnd w:id="0"/>
    </w:p>
    <w:p w14:paraId="7BADBE84" w14:textId="77777777" w:rsidR="00882105" w:rsidRPr="006E255B" w:rsidRDefault="00E72A36" w:rsidP="00930229">
      <w:pPr>
        <w:pStyle w:val="Heading1"/>
        <w:spacing w:before="0" w:after="120" w:line="240" w:lineRule="auto"/>
        <w:contextualSpacing w:val="0"/>
        <w:rPr>
          <w:b/>
        </w:rPr>
      </w:pPr>
      <w:bookmarkStart w:id="1" w:name="_Toc18311676"/>
      <w:r w:rsidRPr="006E255B">
        <w:rPr>
          <w:b/>
        </w:rPr>
        <w:lastRenderedPageBreak/>
        <w:t>Foreword</w:t>
      </w:r>
      <w:bookmarkEnd w:id="1"/>
    </w:p>
    <w:p w14:paraId="5372D51F" w14:textId="77777777" w:rsidR="00C36E8B" w:rsidRDefault="00A60D05" w:rsidP="00C36E8B">
      <w:pPr>
        <w:spacing w:after="120" w:line="240" w:lineRule="auto"/>
        <w:rPr>
          <w:rFonts w:ascii="Calibri Light" w:hAnsi="Calibri Light" w:cs="Calibri Light"/>
        </w:rPr>
      </w:pPr>
      <w:r w:rsidRPr="006E255B">
        <w:rPr>
          <w:rFonts w:ascii="Calibri Light" w:hAnsi="Calibri Light" w:cs="Calibri Light"/>
        </w:rPr>
        <w:t>In today</w:t>
      </w:r>
      <w:r w:rsidR="000D6475">
        <w:rPr>
          <w:rFonts w:ascii="Calibri Light" w:hAnsi="Calibri Light" w:cs="Calibri Light"/>
        </w:rPr>
        <w:t>’</w:t>
      </w:r>
      <w:r w:rsidRPr="006E255B">
        <w:rPr>
          <w:rFonts w:ascii="Calibri Light" w:hAnsi="Calibri Light" w:cs="Calibri Light"/>
        </w:rPr>
        <w:t xml:space="preserve">s global society, </w:t>
      </w:r>
      <w:r w:rsidR="00B16DAE">
        <w:rPr>
          <w:rFonts w:ascii="Calibri Light" w:hAnsi="Calibri Light" w:cs="Calibri Light"/>
        </w:rPr>
        <w:t>micro</w:t>
      </w:r>
      <w:r w:rsidR="0097338B">
        <w:rPr>
          <w:rFonts w:ascii="Calibri Light" w:hAnsi="Calibri Light" w:cs="Calibri Light"/>
        </w:rPr>
        <w:t>organisms</w:t>
      </w:r>
      <w:r w:rsidRPr="006E255B" w:rsidDel="00DA78E8">
        <w:rPr>
          <w:rFonts w:ascii="Calibri Light" w:hAnsi="Calibri Light" w:cs="Calibri Light"/>
        </w:rPr>
        <w:t xml:space="preserve"> </w:t>
      </w:r>
      <w:r w:rsidR="006F6897">
        <w:rPr>
          <w:rFonts w:ascii="Calibri Light" w:hAnsi="Calibri Light" w:cs="Calibri Light"/>
        </w:rPr>
        <w:t xml:space="preserve">and their resistance </w:t>
      </w:r>
      <w:r w:rsidR="00703477">
        <w:rPr>
          <w:rFonts w:ascii="Calibri Light" w:hAnsi="Calibri Light" w:cs="Calibri Light"/>
        </w:rPr>
        <w:t xml:space="preserve">genes </w:t>
      </w:r>
      <w:r w:rsidRPr="006E255B" w:rsidDel="00DA78E8">
        <w:rPr>
          <w:rFonts w:ascii="Calibri Light" w:hAnsi="Calibri Light" w:cs="Calibri Light"/>
        </w:rPr>
        <w:t xml:space="preserve">can </w:t>
      </w:r>
      <w:r w:rsidR="00703477">
        <w:rPr>
          <w:rFonts w:ascii="Calibri Light" w:hAnsi="Calibri Light" w:cs="Calibri Light"/>
        </w:rPr>
        <w:t>swiftly</w:t>
      </w:r>
      <w:r w:rsidR="00B16DAE">
        <w:rPr>
          <w:rFonts w:ascii="Calibri Light" w:hAnsi="Calibri Light" w:cs="Calibri Light"/>
        </w:rPr>
        <w:t xml:space="preserve"> </w:t>
      </w:r>
      <w:r w:rsidRPr="006E255B" w:rsidDel="00DA78E8">
        <w:rPr>
          <w:rFonts w:ascii="Calibri Light" w:hAnsi="Calibri Light" w:cs="Calibri Light"/>
        </w:rPr>
        <w:t xml:space="preserve">spread through </w:t>
      </w:r>
      <w:r w:rsidR="00703477">
        <w:rPr>
          <w:rFonts w:ascii="Calibri Light" w:hAnsi="Calibri Light" w:cs="Calibri Light"/>
        </w:rPr>
        <w:t xml:space="preserve">the </w:t>
      </w:r>
      <w:r w:rsidRPr="006E255B" w:rsidDel="00DA78E8">
        <w:rPr>
          <w:rFonts w:ascii="Calibri Light" w:hAnsi="Calibri Light" w:cs="Calibri Light"/>
        </w:rPr>
        <w:t>movement</w:t>
      </w:r>
      <w:r w:rsidR="00703477">
        <w:rPr>
          <w:rFonts w:ascii="Calibri Light" w:hAnsi="Calibri Light" w:cs="Calibri Light"/>
        </w:rPr>
        <w:t>s</w:t>
      </w:r>
      <w:r w:rsidRPr="006E255B" w:rsidDel="00DA78E8">
        <w:rPr>
          <w:rFonts w:ascii="Calibri Light" w:hAnsi="Calibri Light" w:cs="Calibri Light"/>
        </w:rPr>
        <w:t xml:space="preserve"> of people, animals, food</w:t>
      </w:r>
      <w:r w:rsidR="005574FA">
        <w:rPr>
          <w:rFonts w:ascii="Calibri Light" w:hAnsi="Calibri Light" w:cs="Calibri Light"/>
        </w:rPr>
        <w:t>, soil</w:t>
      </w:r>
      <w:r w:rsidRPr="006E255B" w:rsidDel="00DA78E8">
        <w:rPr>
          <w:rFonts w:ascii="Calibri Light" w:hAnsi="Calibri Light" w:cs="Calibri Light"/>
        </w:rPr>
        <w:t xml:space="preserve"> or water</w:t>
      </w:r>
      <w:r w:rsidR="006F6897">
        <w:rPr>
          <w:rFonts w:ascii="Calibri Light" w:hAnsi="Calibri Light" w:cs="Calibri Light"/>
        </w:rPr>
        <w:t xml:space="preserve">. </w:t>
      </w:r>
      <w:r w:rsidR="00580C34">
        <w:rPr>
          <w:rFonts w:ascii="Calibri Light" w:hAnsi="Calibri Light" w:cs="Calibri Light"/>
        </w:rPr>
        <w:t>Additionally,</w:t>
      </w:r>
      <w:r w:rsidR="00C26D60">
        <w:rPr>
          <w:rFonts w:ascii="Calibri Light" w:hAnsi="Calibri Light" w:cs="Calibri Light"/>
        </w:rPr>
        <w:t xml:space="preserve"> these genes </w:t>
      </w:r>
      <w:r w:rsidR="0097338B">
        <w:rPr>
          <w:rFonts w:ascii="Calibri Light" w:hAnsi="Calibri Light" w:cs="Calibri Light"/>
        </w:rPr>
        <w:t>can</w:t>
      </w:r>
      <w:r w:rsidRPr="006E255B">
        <w:rPr>
          <w:rFonts w:ascii="Calibri Light" w:hAnsi="Calibri Light" w:cs="Calibri Light"/>
        </w:rPr>
        <w:t xml:space="preserve"> </w:t>
      </w:r>
      <w:r w:rsidR="006800CF">
        <w:rPr>
          <w:rFonts w:ascii="Calibri Light" w:hAnsi="Calibri Light" w:cs="Calibri Light"/>
        </w:rPr>
        <w:t>transfer</w:t>
      </w:r>
      <w:r w:rsidRPr="006E255B">
        <w:rPr>
          <w:rFonts w:ascii="Calibri Light" w:hAnsi="Calibri Light" w:cs="Calibri Light"/>
        </w:rPr>
        <w:t xml:space="preserve"> between</w:t>
      </w:r>
      <w:r w:rsidRPr="006E255B" w:rsidDel="00DA78E8">
        <w:rPr>
          <w:rFonts w:ascii="Calibri Light" w:hAnsi="Calibri Light" w:cs="Calibri Light"/>
        </w:rPr>
        <w:t xml:space="preserve"> </w:t>
      </w:r>
      <w:r w:rsidR="00E0763E">
        <w:rPr>
          <w:rFonts w:ascii="Calibri Light" w:hAnsi="Calibri Light" w:cs="Calibri Light"/>
        </w:rPr>
        <w:t xml:space="preserve">different </w:t>
      </w:r>
      <w:r w:rsidRPr="006E255B" w:rsidDel="00DA78E8">
        <w:rPr>
          <w:rFonts w:ascii="Calibri Light" w:hAnsi="Calibri Light" w:cs="Calibri Light"/>
        </w:rPr>
        <w:t>species</w:t>
      </w:r>
      <w:r w:rsidR="0097338B">
        <w:rPr>
          <w:rFonts w:ascii="Calibri Light" w:hAnsi="Calibri Light" w:cs="Calibri Light"/>
        </w:rPr>
        <w:t xml:space="preserve"> of microorganisms</w:t>
      </w:r>
      <w:r w:rsidRPr="006E255B" w:rsidDel="00DA78E8">
        <w:rPr>
          <w:rFonts w:ascii="Calibri Light" w:hAnsi="Calibri Light" w:cs="Calibri Light"/>
        </w:rPr>
        <w:t xml:space="preserve">. </w:t>
      </w:r>
      <w:r w:rsidR="00C36E8B">
        <w:rPr>
          <w:rFonts w:ascii="Calibri Light" w:hAnsi="Calibri Light" w:cs="Calibri Light"/>
        </w:rPr>
        <w:t xml:space="preserve">This </w:t>
      </w:r>
      <w:r w:rsidR="00E22CD0">
        <w:rPr>
          <w:rFonts w:ascii="Calibri Light" w:hAnsi="Calibri Light" w:cs="Calibri Light"/>
        </w:rPr>
        <w:t>makes the</w:t>
      </w:r>
      <w:r w:rsidR="00C36E8B">
        <w:rPr>
          <w:rFonts w:ascii="Calibri Light" w:hAnsi="Calibri Light" w:cs="Calibri Light"/>
        </w:rPr>
        <w:t xml:space="preserve"> </w:t>
      </w:r>
      <w:r w:rsidR="00C36E8B" w:rsidRPr="00C36E8B">
        <w:rPr>
          <w:rFonts w:ascii="Calibri Light" w:hAnsi="Calibri Light" w:cs="Calibri Light"/>
        </w:rPr>
        <w:t>antibiotics, antifungals</w:t>
      </w:r>
      <w:r w:rsidR="00C36E8B">
        <w:rPr>
          <w:rFonts w:ascii="Calibri Light" w:hAnsi="Calibri Light" w:cs="Calibri Light"/>
        </w:rPr>
        <w:t xml:space="preserve"> and other </w:t>
      </w:r>
      <w:r w:rsidR="00C36E8B" w:rsidRPr="006E255B">
        <w:rPr>
          <w:rFonts w:ascii="Calibri Light" w:hAnsi="Calibri Light" w:cs="Calibri Light"/>
        </w:rPr>
        <w:t>antimicrobial</w:t>
      </w:r>
      <w:r w:rsidR="00C36E8B">
        <w:rPr>
          <w:rFonts w:ascii="Calibri Light" w:hAnsi="Calibri Light" w:cs="Calibri Light"/>
        </w:rPr>
        <w:t xml:space="preserve">s on which we all </w:t>
      </w:r>
      <w:r w:rsidR="009010EF">
        <w:rPr>
          <w:rFonts w:ascii="Calibri Light" w:hAnsi="Calibri Light" w:cs="Calibri Light"/>
        </w:rPr>
        <w:t>depend</w:t>
      </w:r>
      <w:r w:rsidR="00C36E8B">
        <w:rPr>
          <w:rFonts w:ascii="Calibri Light" w:hAnsi="Calibri Light" w:cs="Calibri Light"/>
        </w:rPr>
        <w:t xml:space="preserve"> </w:t>
      </w:r>
      <w:r w:rsidR="00E22CD0">
        <w:rPr>
          <w:rFonts w:ascii="Calibri Light" w:hAnsi="Calibri Light" w:cs="Calibri Light"/>
        </w:rPr>
        <w:t xml:space="preserve">less </w:t>
      </w:r>
      <w:r w:rsidR="00C36E8B">
        <w:rPr>
          <w:rFonts w:ascii="Calibri Light" w:hAnsi="Calibri Light" w:cs="Calibri Light"/>
        </w:rPr>
        <w:t xml:space="preserve">effective, </w:t>
      </w:r>
      <w:r w:rsidR="00E22CD0">
        <w:rPr>
          <w:rFonts w:ascii="Calibri Light" w:hAnsi="Calibri Light" w:cs="Calibri Light"/>
        </w:rPr>
        <w:t xml:space="preserve">endangering human health and </w:t>
      </w:r>
      <w:r w:rsidR="006800CF">
        <w:rPr>
          <w:rFonts w:ascii="Calibri Light" w:hAnsi="Calibri Light" w:cs="Calibri Light"/>
        </w:rPr>
        <w:t>affecting</w:t>
      </w:r>
      <w:r w:rsidR="0097338B">
        <w:rPr>
          <w:rFonts w:ascii="Calibri Light" w:hAnsi="Calibri Light" w:cs="Calibri Light"/>
        </w:rPr>
        <w:t xml:space="preserve"> </w:t>
      </w:r>
      <w:r w:rsidR="009010EF">
        <w:rPr>
          <w:rFonts w:ascii="Calibri Light" w:hAnsi="Calibri Light" w:cs="Calibri Light"/>
        </w:rPr>
        <w:t xml:space="preserve">food production and other </w:t>
      </w:r>
      <w:r w:rsidR="00E22CD0">
        <w:rPr>
          <w:rFonts w:ascii="Calibri Light" w:hAnsi="Calibri Light" w:cs="Calibri Light"/>
        </w:rPr>
        <w:t>economic activity</w:t>
      </w:r>
      <w:r w:rsidR="009010EF">
        <w:rPr>
          <w:rFonts w:ascii="Calibri Light" w:hAnsi="Calibri Light" w:cs="Calibri Light"/>
        </w:rPr>
        <w:t xml:space="preserve">. </w:t>
      </w:r>
    </w:p>
    <w:p w14:paraId="7766FA2C" w14:textId="0621FEC8" w:rsidR="00A60D05" w:rsidRPr="006E255B" w:rsidRDefault="00332E02" w:rsidP="00930229">
      <w:pPr>
        <w:spacing w:after="120" w:line="240" w:lineRule="auto"/>
        <w:rPr>
          <w:rFonts w:ascii="Calibri Light" w:hAnsi="Calibri Light" w:cs="Calibri Light"/>
        </w:rPr>
      </w:pPr>
      <w:r>
        <w:rPr>
          <w:rFonts w:ascii="Calibri Light" w:hAnsi="Calibri Light" w:cs="Calibri Light"/>
        </w:rPr>
        <w:t>Any</w:t>
      </w:r>
      <w:r w:rsidR="00273DED" w:rsidRPr="006E255B">
        <w:rPr>
          <w:rFonts w:ascii="Calibri Light" w:hAnsi="Calibri Light" w:cs="Calibri Light"/>
        </w:rPr>
        <w:t xml:space="preserve"> effective response</w:t>
      </w:r>
      <w:r w:rsidR="0020549F" w:rsidRPr="006E255B">
        <w:rPr>
          <w:rFonts w:ascii="Calibri Light" w:hAnsi="Calibri Light" w:cs="Calibri Light"/>
        </w:rPr>
        <w:t xml:space="preserve"> to </w:t>
      </w:r>
      <w:r>
        <w:rPr>
          <w:rFonts w:ascii="Calibri Light" w:hAnsi="Calibri Light" w:cs="Calibri Light"/>
        </w:rPr>
        <w:t xml:space="preserve">the </w:t>
      </w:r>
      <w:r w:rsidR="00774D53">
        <w:rPr>
          <w:rFonts w:ascii="Calibri Light" w:hAnsi="Calibri Light" w:cs="Calibri Light"/>
        </w:rPr>
        <w:t>continuing</w:t>
      </w:r>
      <w:r>
        <w:rPr>
          <w:rFonts w:ascii="Calibri Light" w:hAnsi="Calibri Light" w:cs="Calibri Light"/>
        </w:rPr>
        <w:t xml:space="preserve"> rise of </w:t>
      </w:r>
      <w:r w:rsidR="00294A03" w:rsidRPr="006E255B">
        <w:rPr>
          <w:rFonts w:ascii="Calibri Light" w:hAnsi="Calibri Light" w:cs="Calibri Light"/>
        </w:rPr>
        <w:t xml:space="preserve">antimicrobial resistance </w:t>
      </w:r>
      <w:r w:rsidR="00A60D05" w:rsidRPr="006E255B" w:rsidDel="00DA78E8">
        <w:rPr>
          <w:rFonts w:ascii="Calibri Light" w:hAnsi="Calibri Light" w:cs="Calibri Light"/>
        </w:rPr>
        <w:t xml:space="preserve">requires </w:t>
      </w:r>
      <w:r w:rsidR="004F2A39" w:rsidRPr="006E255B">
        <w:rPr>
          <w:rFonts w:ascii="Calibri Light" w:hAnsi="Calibri Light" w:cs="Calibri Light"/>
        </w:rPr>
        <w:t xml:space="preserve">a </w:t>
      </w:r>
      <w:r w:rsidR="000D6475">
        <w:rPr>
          <w:rFonts w:ascii="Calibri Light" w:hAnsi="Calibri Light" w:cs="Calibri Light"/>
        </w:rPr>
        <w:t>‘</w:t>
      </w:r>
      <w:r w:rsidR="004F2A39" w:rsidRPr="006E255B">
        <w:rPr>
          <w:rFonts w:ascii="Calibri Light" w:hAnsi="Calibri Light" w:cs="Calibri Light"/>
        </w:rPr>
        <w:t>One Health</w:t>
      </w:r>
      <w:r w:rsidR="000D6475">
        <w:rPr>
          <w:rFonts w:ascii="Calibri Light" w:hAnsi="Calibri Light" w:cs="Calibri Light"/>
        </w:rPr>
        <w:t>’</w:t>
      </w:r>
      <w:r w:rsidR="004F2A39" w:rsidRPr="006E255B">
        <w:rPr>
          <w:rFonts w:ascii="Calibri Light" w:hAnsi="Calibri Light" w:cs="Calibri Light"/>
        </w:rPr>
        <w:t xml:space="preserve"> approach</w:t>
      </w:r>
      <w:r w:rsidR="002078D9">
        <w:rPr>
          <w:rFonts w:ascii="Calibri Light" w:hAnsi="Calibri Light" w:cs="Calibri Light"/>
        </w:rPr>
        <w:t xml:space="preserve">: </w:t>
      </w:r>
      <w:r w:rsidR="004F2A39" w:rsidRPr="006E255B">
        <w:rPr>
          <w:rFonts w:ascii="Calibri Light" w:hAnsi="Calibri Light" w:cs="Calibri Light"/>
        </w:rPr>
        <w:t xml:space="preserve">coordinated action </w:t>
      </w:r>
      <w:r w:rsidR="002078D9">
        <w:rPr>
          <w:rFonts w:ascii="Calibri Light" w:hAnsi="Calibri Light" w:cs="Calibri Light"/>
        </w:rPr>
        <w:t>across</w:t>
      </w:r>
      <w:r w:rsidR="00273DED" w:rsidRPr="006E255B">
        <w:rPr>
          <w:rFonts w:ascii="Calibri Light" w:hAnsi="Calibri Light" w:cs="Calibri Light"/>
        </w:rPr>
        <w:t xml:space="preserve"> </w:t>
      </w:r>
      <w:r>
        <w:rPr>
          <w:rFonts w:ascii="Calibri Light" w:hAnsi="Calibri Light" w:cs="Calibri Light"/>
        </w:rPr>
        <w:t xml:space="preserve">all </w:t>
      </w:r>
      <w:r w:rsidR="00273DED" w:rsidRPr="006E255B">
        <w:rPr>
          <w:rFonts w:ascii="Calibri Light" w:hAnsi="Calibri Light" w:cs="Calibri Light"/>
        </w:rPr>
        <w:t xml:space="preserve">sectors </w:t>
      </w:r>
      <w:r w:rsidR="004F2A39" w:rsidRPr="006E255B">
        <w:rPr>
          <w:rFonts w:ascii="Calibri Light" w:hAnsi="Calibri Light" w:cs="Calibri Light"/>
        </w:rPr>
        <w:t xml:space="preserve">where antimicrobials </w:t>
      </w:r>
      <w:r w:rsidR="00CF2E64" w:rsidRPr="006E255B">
        <w:rPr>
          <w:rFonts w:ascii="Calibri Light" w:hAnsi="Calibri Light" w:cs="Calibri Light"/>
        </w:rPr>
        <w:t>are</w:t>
      </w:r>
      <w:r w:rsidR="004F2A39" w:rsidRPr="006E255B">
        <w:rPr>
          <w:rFonts w:ascii="Calibri Light" w:hAnsi="Calibri Light" w:cs="Calibri Light"/>
        </w:rPr>
        <w:t xml:space="preserve"> used</w:t>
      </w:r>
      <w:r w:rsidR="002078D9">
        <w:rPr>
          <w:rFonts w:ascii="Calibri Light" w:hAnsi="Calibri Light" w:cs="Calibri Light"/>
        </w:rPr>
        <w:t xml:space="preserve"> in the country, as well as close coordination </w:t>
      </w:r>
      <w:r w:rsidR="004F2A39" w:rsidRPr="006E255B">
        <w:rPr>
          <w:rFonts w:ascii="Calibri Light" w:hAnsi="Calibri Light" w:cs="Calibri Light"/>
        </w:rPr>
        <w:t xml:space="preserve">with global </w:t>
      </w:r>
      <w:r w:rsidR="0097338B">
        <w:rPr>
          <w:rFonts w:ascii="Calibri Light" w:hAnsi="Calibri Light" w:cs="Calibri Light"/>
        </w:rPr>
        <w:t>action</w:t>
      </w:r>
      <w:r w:rsidR="004F2A39" w:rsidRPr="006E255B">
        <w:rPr>
          <w:rFonts w:ascii="Calibri Light" w:hAnsi="Calibri Light" w:cs="Calibri Light"/>
        </w:rPr>
        <w:t>.</w:t>
      </w:r>
      <w:r w:rsidR="00A60D05" w:rsidRPr="006E255B">
        <w:rPr>
          <w:rFonts w:ascii="Calibri Light" w:hAnsi="Calibri Light" w:cs="Calibri Light"/>
        </w:rPr>
        <w:t xml:space="preserve"> </w:t>
      </w:r>
    </w:p>
    <w:p w14:paraId="44986A1D" w14:textId="6137ECBC" w:rsidR="00A60D05" w:rsidRPr="006E255B" w:rsidRDefault="00A60D05" w:rsidP="00930229">
      <w:pPr>
        <w:spacing w:after="120" w:line="240" w:lineRule="auto"/>
        <w:rPr>
          <w:rFonts w:ascii="Calibri Light" w:hAnsi="Calibri Light" w:cs="Calibri Light"/>
        </w:rPr>
      </w:pPr>
      <w:r w:rsidRPr="006E255B">
        <w:rPr>
          <w:rFonts w:ascii="Calibri Light" w:hAnsi="Calibri Light" w:cs="Calibri Light"/>
        </w:rPr>
        <w:t xml:space="preserve">In 2015, the Australian Government released </w:t>
      </w:r>
      <w:r w:rsidRPr="006E255B">
        <w:rPr>
          <w:rFonts w:ascii="Calibri Light" w:hAnsi="Calibri Light" w:cs="Calibri Light"/>
          <w:i/>
        </w:rPr>
        <w:t>Australia</w:t>
      </w:r>
      <w:r w:rsidR="000D6475">
        <w:rPr>
          <w:rFonts w:ascii="Calibri Light" w:hAnsi="Calibri Light" w:cs="Calibri Light"/>
          <w:i/>
        </w:rPr>
        <w:t>’</w:t>
      </w:r>
      <w:r w:rsidRPr="006E255B">
        <w:rPr>
          <w:rFonts w:ascii="Calibri Light" w:hAnsi="Calibri Light" w:cs="Calibri Light"/>
          <w:i/>
        </w:rPr>
        <w:t>s First National Antimicrobial Resistance Strategy 2015</w:t>
      </w:r>
      <w:r w:rsidR="005B7BBC">
        <w:rPr>
          <w:rFonts w:ascii="Calibri Light" w:hAnsi="Calibri Light" w:cs="Calibri Light"/>
          <w:i/>
        </w:rPr>
        <w:t>–</w:t>
      </w:r>
      <w:r w:rsidRPr="006E255B">
        <w:rPr>
          <w:rFonts w:ascii="Calibri Light" w:hAnsi="Calibri Light" w:cs="Calibri Light"/>
          <w:i/>
        </w:rPr>
        <w:t>2019</w:t>
      </w:r>
      <w:r w:rsidR="002078D9">
        <w:rPr>
          <w:rFonts w:ascii="Calibri Light" w:hAnsi="Calibri Light" w:cs="Calibri Light"/>
          <w:i/>
        </w:rPr>
        <w:t xml:space="preserve">. </w:t>
      </w:r>
      <w:r w:rsidR="002078D9">
        <w:rPr>
          <w:rFonts w:ascii="Calibri Light" w:hAnsi="Calibri Light" w:cs="Calibri Light"/>
        </w:rPr>
        <w:t>It was</w:t>
      </w:r>
      <w:r w:rsidRPr="006E255B">
        <w:rPr>
          <w:rFonts w:ascii="Calibri Light" w:hAnsi="Calibri Light" w:cs="Calibri Light"/>
        </w:rPr>
        <w:t xml:space="preserve"> closely </w:t>
      </w:r>
      <w:r w:rsidR="002078D9" w:rsidRPr="006E255B">
        <w:rPr>
          <w:rFonts w:ascii="Calibri Light" w:hAnsi="Calibri Light" w:cs="Calibri Light"/>
        </w:rPr>
        <w:t xml:space="preserve">aligned </w:t>
      </w:r>
      <w:r w:rsidRPr="006E255B">
        <w:rPr>
          <w:rFonts w:ascii="Calibri Light" w:hAnsi="Calibri Light" w:cs="Calibri Light"/>
        </w:rPr>
        <w:t xml:space="preserve">with the </w:t>
      </w:r>
      <w:r w:rsidR="00294A03" w:rsidRPr="006E255B">
        <w:rPr>
          <w:rFonts w:ascii="Calibri Light" w:hAnsi="Calibri Light" w:cs="Calibri Light"/>
        </w:rPr>
        <w:t>World Health Organi</w:t>
      </w:r>
      <w:r w:rsidR="009500CD">
        <w:rPr>
          <w:rFonts w:ascii="Calibri Light" w:hAnsi="Calibri Light" w:cs="Calibri Light"/>
        </w:rPr>
        <w:t>z</w:t>
      </w:r>
      <w:r w:rsidR="00294A03" w:rsidRPr="006E255B">
        <w:rPr>
          <w:rFonts w:ascii="Calibri Light" w:hAnsi="Calibri Light" w:cs="Calibri Light"/>
        </w:rPr>
        <w:t>ation</w:t>
      </w:r>
      <w:r w:rsidR="000D6475">
        <w:rPr>
          <w:rFonts w:ascii="Calibri Light" w:hAnsi="Calibri Light" w:cs="Calibri Light"/>
        </w:rPr>
        <w:t>’</w:t>
      </w:r>
      <w:r w:rsidR="00294A03" w:rsidRPr="006E255B">
        <w:rPr>
          <w:rFonts w:ascii="Calibri Light" w:hAnsi="Calibri Light" w:cs="Calibri Light"/>
        </w:rPr>
        <w:t>s</w:t>
      </w:r>
      <w:r w:rsidR="009500CD">
        <w:rPr>
          <w:rFonts w:ascii="Calibri Light" w:hAnsi="Calibri Light" w:cs="Calibri Light"/>
        </w:rPr>
        <w:t xml:space="preserve"> </w:t>
      </w:r>
      <w:r w:rsidR="00294A03" w:rsidRPr="006E255B">
        <w:rPr>
          <w:rFonts w:ascii="Calibri Light" w:hAnsi="Calibri Light" w:cs="Calibri Light"/>
        </w:rPr>
        <w:t xml:space="preserve">Global Action Plan </w:t>
      </w:r>
      <w:r w:rsidRPr="006E255B">
        <w:rPr>
          <w:rFonts w:ascii="Calibri Light" w:hAnsi="Calibri Light" w:cs="Calibri Light"/>
        </w:rPr>
        <w:t xml:space="preserve">on </w:t>
      </w:r>
      <w:r w:rsidR="009500CD">
        <w:rPr>
          <w:rFonts w:ascii="Calibri Light" w:hAnsi="Calibri Light" w:cs="Calibri Light"/>
        </w:rPr>
        <w:t>Antimicrobial Resistance</w:t>
      </w:r>
      <w:r w:rsidRPr="006E255B">
        <w:rPr>
          <w:rFonts w:ascii="Calibri Light" w:hAnsi="Calibri Light" w:cs="Calibri Light"/>
        </w:rPr>
        <w:t xml:space="preserve"> and provided a </w:t>
      </w:r>
      <w:r w:rsidR="009500CD">
        <w:rPr>
          <w:rFonts w:ascii="Calibri Light" w:hAnsi="Calibri Light" w:cs="Calibri Light"/>
        </w:rPr>
        <w:t xml:space="preserve">national </w:t>
      </w:r>
      <w:r w:rsidRPr="006E255B">
        <w:rPr>
          <w:rFonts w:ascii="Calibri Light" w:hAnsi="Calibri Light" w:cs="Calibri Light"/>
        </w:rPr>
        <w:t xml:space="preserve">framework for a coordinated cross-sectoral response to </w:t>
      </w:r>
      <w:r w:rsidR="009500CD">
        <w:rPr>
          <w:rFonts w:ascii="Calibri Light" w:hAnsi="Calibri Light" w:cs="Calibri Light"/>
        </w:rPr>
        <w:t>the very real dangers posed by antimicrobial resistance</w:t>
      </w:r>
      <w:r w:rsidRPr="006E255B">
        <w:rPr>
          <w:rFonts w:ascii="Calibri Light" w:hAnsi="Calibri Light" w:cs="Calibri Light"/>
        </w:rPr>
        <w:t>.</w:t>
      </w:r>
    </w:p>
    <w:p w14:paraId="262BA564" w14:textId="77777777" w:rsidR="00A60D05" w:rsidRPr="006E255B" w:rsidRDefault="00A60D05" w:rsidP="00930229">
      <w:pPr>
        <w:spacing w:after="120" w:line="240" w:lineRule="auto"/>
        <w:rPr>
          <w:rFonts w:ascii="Calibri Light" w:hAnsi="Calibri Light" w:cs="Calibri Light"/>
        </w:rPr>
      </w:pPr>
      <w:r w:rsidRPr="006E255B">
        <w:rPr>
          <w:rFonts w:ascii="Calibri Light" w:hAnsi="Calibri Light" w:cs="Calibri Light"/>
        </w:rPr>
        <w:t xml:space="preserve">Australia made significant progress </w:t>
      </w:r>
      <w:r w:rsidR="00996C80">
        <w:rPr>
          <w:rFonts w:ascii="Calibri Light" w:hAnsi="Calibri Light" w:cs="Calibri Light"/>
        </w:rPr>
        <w:t>in its</w:t>
      </w:r>
      <w:r w:rsidRPr="006E255B">
        <w:rPr>
          <w:rFonts w:ascii="Calibri Light" w:hAnsi="Calibri Light" w:cs="Calibri Light"/>
        </w:rPr>
        <w:t xml:space="preserve"> response under the </w:t>
      </w:r>
      <w:r w:rsidR="00996C80" w:rsidRPr="00996C80">
        <w:rPr>
          <w:rFonts w:ascii="Calibri Light" w:hAnsi="Calibri Light" w:cs="Calibri Light"/>
          <w:iCs/>
        </w:rPr>
        <w:t>first strategy</w:t>
      </w:r>
      <w:r w:rsidR="001C0B81" w:rsidRPr="006E255B">
        <w:rPr>
          <w:rFonts w:ascii="Calibri Light" w:hAnsi="Calibri Light" w:cs="Calibri Light"/>
        </w:rPr>
        <w:t xml:space="preserve">, including </w:t>
      </w:r>
      <w:r w:rsidRPr="006E255B">
        <w:rPr>
          <w:rFonts w:ascii="Calibri Light" w:hAnsi="Calibri Light" w:cs="Calibri Light"/>
        </w:rPr>
        <w:t>the</w:t>
      </w:r>
      <w:r w:rsidR="001C0B81" w:rsidRPr="006E255B">
        <w:rPr>
          <w:rFonts w:ascii="Calibri Light" w:hAnsi="Calibri Light" w:cs="Calibri Light"/>
        </w:rPr>
        <w:t xml:space="preserve"> </w:t>
      </w:r>
      <w:r w:rsidR="00996C80">
        <w:rPr>
          <w:rFonts w:ascii="Calibri Light" w:hAnsi="Calibri Light" w:cs="Calibri Light"/>
        </w:rPr>
        <w:t>creation</w:t>
      </w:r>
      <w:r w:rsidR="001C0B81" w:rsidRPr="006E255B">
        <w:rPr>
          <w:rFonts w:ascii="Calibri Light" w:hAnsi="Calibri Light" w:cs="Calibri Light"/>
        </w:rPr>
        <w:t xml:space="preserve"> of </w:t>
      </w:r>
      <w:r w:rsidR="00F0035B" w:rsidRPr="006E255B">
        <w:rPr>
          <w:rFonts w:ascii="Calibri Light" w:hAnsi="Calibri Light" w:cs="Calibri Light"/>
        </w:rPr>
        <w:t xml:space="preserve">a One Health </w:t>
      </w:r>
      <w:r w:rsidR="00996C80">
        <w:rPr>
          <w:rFonts w:ascii="Calibri Light" w:hAnsi="Calibri Light" w:cs="Calibri Light"/>
        </w:rPr>
        <w:t>antimicrobial resistance</w:t>
      </w:r>
      <w:r w:rsidR="00996C80" w:rsidRPr="006E255B">
        <w:rPr>
          <w:rFonts w:ascii="Calibri Light" w:hAnsi="Calibri Light" w:cs="Calibri Light"/>
        </w:rPr>
        <w:t xml:space="preserve"> </w:t>
      </w:r>
      <w:r w:rsidR="00F44CB3">
        <w:rPr>
          <w:rFonts w:ascii="Calibri Light" w:hAnsi="Calibri Light" w:cs="Calibri Light"/>
        </w:rPr>
        <w:t>online hub,</w:t>
      </w:r>
      <w:r w:rsidR="00F0035B" w:rsidRPr="006E255B">
        <w:rPr>
          <w:rFonts w:ascii="Calibri Light" w:hAnsi="Calibri Light" w:cs="Calibri Light"/>
        </w:rPr>
        <w:t xml:space="preserve"> </w:t>
      </w:r>
      <w:r w:rsidR="00996C80">
        <w:rPr>
          <w:rFonts w:ascii="Calibri Light" w:hAnsi="Calibri Light" w:cs="Calibri Light"/>
        </w:rPr>
        <w:t xml:space="preserve">which acts </w:t>
      </w:r>
      <w:r w:rsidR="00F0035B" w:rsidRPr="006E255B">
        <w:rPr>
          <w:rFonts w:ascii="Calibri Light" w:hAnsi="Calibri Light" w:cs="Calibri Light"/>
        </w:rPr>
        <w:t xml:space="preserve">as a central repository for trusted information and resources related to antibiotic use and </w:t>
      </w:r>
      <w:r w:rsidR="00996C80">
        <w:rPr>
          <w:rFonts w:ascii="Calibri Light" w:hAnsi="Calibri Light" w:cs="Calibri Light"/>
        </w:rPr>
        <w:t>antimicrobial resistance generally</w:t>
      </w:r>
      <w:r w:rsidR="00F44CB3">
        <w:rPr>
          <w:rFonts w:ascii="Calibri Light" w:hAnsi="Calibri Light" w:cs="Calibri Light"/>
        </w:rPr>
        <w:t>;</w:t>
      </w:r>
      <w:r w:rsidR="001C0B81" w:rsidRPr="006E255B">
        <w:rPr>
          <w:rFonts w:ascii="Calibri Light" w:hAnsi="Calibri Light" w:cs="Calibri Light"/>
        </w:rPr>
        <w:t xml:space="preserve"> the </w:t>
      </w:r>
      <w:r w:rsidRPr="006E255B">
        <w:rPr>
          <w:rFonts w:ascii="Calibri Light" w:hAnsi="Calibri Light" w:cs="Calibri Light"/>
        </w:rPr>
        <w:t>establishment of the Antimicrobial Use and Resistance in Australia (AURA) Surveillance System</w:t>
      </w:r>
      <w:r w:rsidR="00F44CB3">
        <w:rPr>
          <w:rFonts w:ascii="Calibri Light" w:hAnsi="Calibri Light" w:cs="Calibri Light"/>
        </w:rPr>
        <w:t>;</w:t>
      </w:r>
      <w:r w:rsidR="001C0B81" w:rsidRPr="006E255B">
        <w:rPr>
          <w:rFonts w:ascii="Calibri Light" w:hAnsi="Calibri Light" w:cs="Calibri Light"/>
        </w:rPr>
        <w:t xml:space="preserve"> </w:t>
      </w:r>
      <w:r w:rsidR="006800CF">
        <w:rPr>
          <w:rFonts w:ascii="Calibri Light" w:hAnsi="Calibri Light" w:cs="Calibri Light"/>
        </w:rPr>
        <w:t xml:space="preserve">the completion of specific proof-of-concept antimicrobial resistance surveillance projects in the animal sector; </w:t>
      </w:r>
      <w:r w:rsidR="001C0B81" w:rsidRPr="006E255B">
        <w:rPr>
          <w:rFonts w:ascii="Calibri Light" w:hAnsi="Calibri Light" w:cs="Calibri Light"/>
        </w:rPr>
        <w:t xml:space="preserve">and significant investment in research and development through National Health and Medical Research Council grants, the Medical Research Future Fund and the Cooperative Research Centres Program. </w:t>
      </w:r>
    </w:p>
    <w:p w14:paraId="7374B269" w14:textId="102A6BD6" w:rsidR="00A60D05" w:rsidRPr="00B55D2B" w:rsidRDefault="004C2510" w:rsidP="00930229">
      <w:pPr>
        <w:spacing w:after="120" w:line="240" w:lineRule="auto"/>
        <w:rPr>
          <w:rFonts w:ascii="Calibri Light" w:hAnsi="Calibri Light" w:cs="Calibri Light"/>
        </w:rPr>
      </w:pPr>
      <w:r>
        <w:rPr>
          <w:rFonts w:ascii="Calibri Light" w:hAnsi="Calibri Light" w:cs="Calibri Light"/>
        </w:rPr>
        <w:t xml:space="preserve">To ensure antimicrobials </w:t>
      </w:r>
      <w:r w:rsidR="005E2E23" w:rsidRPr="00B55D2B">
        <w:rPr>
          <w:rFonts w:ascii="Calibri Light" w:hAnsi="Calibri Light" w:cs="Calibri Light"/>
        </w:rPr>
        <w:t xml:space="preserve">remain effective </w:t>
      </w:r>
      <w:r w:rsidR="00945BF7" w:rsidRPr="00B55D2B">
        <w:rPr>
          <w:rFonts w:ascii="Calibri Light" w:hAnsi="Calibri Light" w:cs="Calibri Light"/>
        </w:rPr>
        <w:t>for</w:t>
      </w:r>
      <w:r w:rsidR="005E2E23" w:rsidRPr="00B55D2B">
        <w:rPr>
          <w:rFonts w:ascii="Calibri Light" w:hAnsi="Calibri Light" w:cs="Calibri Light"/>
        </w:rPr>
        <w:t xml:space="preserve"> decades </w:t>
      </w:r>
      <w:r w:rsidR="00945BF7" w:rsidRPr="00B55D2B">
        <w:rPr>
          <w:rFonts w:ascii="Calibri Light" w:hAnsi="Calibri Light" w:cs="Calibri Light"/>
        </w:rPr>
        <w:t>to come</w:t>
      </w:r>
      <w:r w:rsidR="005E2E23" w:rsidRPr="00B55D2B">
        <w:rPr>
          <w:rFonts w:ascii="Calibri Light" w:hAnsi="Calibri Light" w:cs="Calibri Light"/>
        </w:rPr>
        <w:t>, Australia need</w:t>
      </w:r>
      <w:r w:rsidR="007D7074" w:rsidRPr="00B55D2B">
        <w:rPr>
          <w:rFonts w:ascii="Calibri Light" w:hAnsi="Calibri Light" w:cs="Calibri Light"/>
        </w:rPr>
        <w:t>s</w:t>
      </w:r>
      <w:r w:rsidR="005E2E23" w:rsidRPr="00B55D2B">
        <w:rPr>
          <w:rFonts w:ascii="Calibri Light" w:hAnsi="Calibri Light" w:cs="Calibri Light"/>
        </w:rPr>
        <w:t xml:space="preserve"> to build </w:t>
      </w:r>
      <w:r w:rsidRPr="00B55D2B">
        <w:rPr>
          <w:rFonts w:ascii="Calibri Light" w:hAnsi="Calibri Light" w:cs="Calibri Light"/>
        </w:rPr>
        <w:t xml:space="preserve">on those </w:t>
      </w:r>
      <w:r w:rsidR="001C0B81" w:rsidRPr="00B55D2B">
        <w:rPr>
          <w:rFonts w:ascii="Calibri Light" w:hAnsi="Calibri Light" w:cs="Calibri Light"/>
        </w:rPr>
        <w:t>achievements</w:t>
      </w:r>
      <w:r w:rsidR="005E2E23" w:rsidRPr="00B55D2B">
        <w:rPr>
          <w:rFonts w:ascii="Calibri Light" w:hAnsi="Calibri Light" w:cs="Calibri Light"/>
        </w:rPr>
        <w:t xml:space="preserve">. This </w:t>
      </w:r>
      <w:r w:rsidRPr="00B55D2B">
        <w:rPr>
          <w:rFonts w:ascii="Calibri Light" w:hAnsi="Calibri Light" w:cs="Calibri Light"/>
        </w:rPr>
        <w:t xml:space="preserve">will require </w:t>
      </w:r>
      <w:r w:rsidR="001C0B81" w:rsidRPr="00B55D2B">
        <w:rPr>
          <w:rFonts w:ascii="Calibri Light" w:hAnsi="Calibri Light" w:cs="Calibri Light"/>
        </w:rPr>
        <w:t>tak</w:t>
      </w:r>
      <w:r w:rsidR="007D7074" w:rsidRPr="00B55D2B">
        <w:rPr>
          <w:rFonts w:ascii="Calibri Light" w:hAnsi="Calibri Light" w:cs="Calibri Light"/>
        </w:rPr>
        <w:t>ing</w:t>
      </w:r>
      <w:r w:rsidR="001C0B81" w:rsidRPr="00B55D2B">
        <w:rPr>
          <w:rFonts w:ascii="Calibri Light" w:hAnsi="Calibri Light" w:cs="Calibri Light"/>
        </w:rPr>
        <w:t xml:space="preserve"> longer term</w:t>
      </w:r>
      <w:r w:rsidR="009F096C" w:rsidRPr="00B55D2B">
        <w:rPr>
          <w:rFonts w:ascii="Calibri Light" w:hAnsi="Calibri Light" w:cs="Calibri Light"/>
        </w:rPr>
        <w:t xml:space="preserve">, coordinated </w:t>
      </w:r>
      <w:r w:rsidR="001C0B81" w:rsidRPr="00B55D2B">
        <w:rPr>
          <w:rFonts w:ascii="Calibri Light" w:hAnsi="Calibri Light" w:cs="Calibri Light"/>
        </w:rPr>
        <w:t xml:space="preserve">action to ensure antimicrobials </w:t>
      </w:r>
      <w:r w:rsidR="009F096C" w:rsidRPr="00B55D2B">
        <w:rPr>
          <w:rFonts w:ascii="Calibri Light" w:hAnsi="Calibri Light" w:cs="Calibri Light"/>
        </w:rPr>
        <w:t xml:space="preserve">are </w:t>
      </w:r>
      <w:r w:rsidR="001C0B81" w:rsidRPr="00B55D2B">
        <w:rPr>
          <w:rFonts w:ascii="Calibri Light" w:hAnsi="Calibri Light" w:cs="Calibri Light"/>
        </w:rPr>
        <w:t xml:space="preserve">managed as </w:t>
      </w:r>
      <w:r w:rsidR="009F096C" w:rsidRPr="00B55D2B">
        <w:rPr>
          <w:rFonts w:ascii="Calibri Light" w:hAnsi="Calibri Light" w:cs="Calibri Light"/>
        </w:rPr>
        <w:t>the</w:t>
      </w:r>
      <w:r w:rsidR="001C0B81" w:rsidRPr="00B55D2B">
        <w:rPr>
          <w:rFonts w:ascii="Calibri Light" w:hAnsi="Calibri Light" w:cs="Calibri Light"/>
        </w:rPr>
        <w:t xml:space="preserve"> valuable shared resource </w:t>
      </w:r>
      <w:r w:rsidR="009F096C" w:rsidRPr="00B55D2B">
        <w:rPr>
          <w:rFonts w:ascii="Calibri Light" w:hAnsi="Calibri Light" w:cs="Calibri Light"/>
        </w:rPr>
        <w:t xml:space="preserve">they are, </w:t>
      </w:r>
      <w:r w:rsidR="001C0B81" w:rsidRPr="00B55D2B">
        <w:rPr>
          <w:rFonts w:ascii="Calibri Light" w:hAnsi="Calibri Light" w:cs="Calibri Light"/>
        </w:rPr>
        <w:t>a</w:t>
      </w:r>
      <w:r w:rsidR="0050115F" w:rsidRPr="00B55D2B">
        <w:rPr>
          <w:rFonts w:ascii="Calibri Light" w:hAnsi="Calibri Light" w:cs="Calibri Light"/>
        </w:rPr>
        <w:t xml:space="preserve">nd </w:t>
      </w:r>
      <w:r w:rsidR="009F096C" w:rsidRPr="00B55D2B">
        <w:rPr>
          <w:rFonts w:ascii="Calibri Light" w:hAnsi="Calibri Light" w:cs="Calibri Light"/>
        </w:rPr>
        <w:t xml:space="preserve">that </w:t>
      </w:r>
      <w:r w:rsidR="007D7074" w:rsidRPr="00B55D2B">
        <w:rPr>
          <w:rFonts w:ascii="Calibri Light" w:hAnsi="Calibri Light" w:cs="Calibri Light"/>
        </w:rPr>
        <w:t xml:space="preserve">a national effort </w:t>
      </w:r>
      <w:r w:rsidR="009F096C" w:rsidRPr="00B55D2B">
        <w:rPr>
          <w:rFonts w:ascii="Calibri Light" w:hAnsi="Calibri Light" w:cs="Calibri Light"/>
        </w:rPr>
        <w:t xml:space="preserve">is made to </w:t>
      </w:r>
      <w:r w:rsidR="0094086C" w:rsidRPr="00B55D2B">
        <w:rPr>
          <w:rFonts w:ascii="Calibri Light" w:hAnsi="Calibri Light" w:cs="Calibri Light"/>
        </w:rPr>
        <w:t>retain</w:t>
      </w:r>
      <w:r w:rsidR="0050115F" w:rsidRPr="00B55D2B">
        <w:rPr>
          <w:rFonts w:ascii="Calibri Light" w:hAnsi="Calibri Light" w:cs="Calibri Light"/>
        </w:rPr>
        <w:t xml:space="preserve"> their </w:t>
      </w:r>
      <w:r w:rsidR="00625916" w:rsidRPr="00B55D2B">
        <w:rPr>
          <w:rFonts w:ascii="Calibri Light" w:hAnsi="Calibri Light" w:cs="Calibri Light"/>
        </w:rPr>
        <w:t>usefulness to society</w:t>
      </w:r>
      <w:r w:rsidR="0050115F" w:rsidRPr="00B55D2B">
        <w:rPr>
          <w:rFonts w:ascii="Calibri Light" w:hAnsi="Calibri Light" w:cs="Calibri Light"/>
        </w:rPr>
        <w:t xml:space="preserve">. </w:t>
      </w:r>
      <w:r w:rsidR="0050115F" w:rsidRPr="00B55D2B">
        <w:rPr>
          <w:rFonts w:ascii="Calibri Light" w:hAnsi="Calibri Light" w:cs="Calibri Light"/>
          <w:i/>
        </w:rPr>
        <w:t>Australia</w:t>
      </w:r>
      <w:r w:rsidR="000D6475" w:rsidRPr="00B55D2B">
        <w:rPr>
          <w:rFonts w:ascii="Calibri Light" w:hAnsi="Calibri Light" w:cs="Calibri Light"/>
          <w:i/>
        </w:rPr>
        <w:t>’</w:t>
      </w:r>
      <w:r w:rsidR="0050115F" w:rsidRPr="00B55D2B">
        <w:rPr>
          <w:rFonts w:ascii="Calibri Light" w:hAnsi="Calibri Light" w:cs="Calibri Light"/>
          <w:i/>
        </w:rPr>
        <w:t>s National</w:t>
      </w:r>
      <w:r w:rsidR="0050115F" w:rsidRPr="00B55D2B">
        <w:rPr>
          <w:rFonts w:ascii="Calibri Light" w:hAnsi="Calibri Light" w:cs="Calibri Light"/>
        </w:rPr>
        <w:t xml:space="preserve"> </w:t>
      </w:r>
      <w:r w:rsidR="001C0B81" w:rsidRPr="00774D53">
        <w:rPr>
          <w:rFonts w:ascii="Calibri Light" w:hAnsi="Calibri Light" w:cs="Calibri Light"/>
          <w:i/>
        </w:rPr>
        <w:t>A</w:t>
      </w:r>
      <w:r w:rsidR="00A60D05" w:rsidRPr="00B55D2B">
        <w:rPr>
          <w:rFonts w:ascii="Calibri Light" w:hAnsi="Calibri Light" w:cs="Calibri Light"/>
          <w:i/>
        </w:rPr>
        <w:t xml:space="preserve">ntimicrobial Resistance Strategy – 2020 and Beyond </w:t>
      </w:r>
      <w:r w:rsidR="001C0B81" w:rsidRPr="00B55D2B">
        <w:rPr>
          <w:rFonts w:ascii="Calibri Light" w:hAnsi="Calibri Light" w:cs="Calibri Light"/>
        </w:rPr>
        <w:t xml:space="preserve">presents a </w:t>
      </w:r>
      <w:r w:rsidR="0029482C" w:rsidRPr="00B55D2B">
        <w:rPr>
          <w:rFonts w:ascii="Calibri Light" w:hAnsi="Calibri Light" w:cs="Calibri Light"/>
        </w:rPr>
        <w:t>20-year</w:t>
      </w:r>
      <w:r w:rsidR="001C0B81" w:rsidRPr="00B55D2B">
        <w:rPr>
          <w:rFonts w:ascii="Calibri Light" w:hAnsi="Calibri Light" w:cs="Calibri Light"/>
        </w:rPr>
        <w:t xml:space="preserve"> vision and seeks to further embed </w:t>
      </w:r>
      <w:r w:rsidR="00B45008" w:rsidRPr="00B55D2B">
        <w:rPr>
          <w:rFonts w:ascii="Calibri Light" w:hAnsi="Calibri Light" w:cs="Calibri Light"/>
        </w:rPr>
        <w:t>the</w:t>
      </w:r>
      <w:r w:rsidR="001C0B81" w:rsidRPr="00B55D2B">
        <w:rPr>
          <w:rFonts w:ascii="Calibri Light" w:hAnsi="Calibri Light" w:cs="Calibri Light"/>
        </w:rPr>
        <w:t xml:space="preserve"> One Healt</w:t>
      </w:r>
      <w:r w:rsidR="0029482C" w:rsidRPr="00B55D2B">
        <w:rPr>
          <w:rFonts w:ascii="Calibri Light" w:hAnsi="Calibri Light" w:cs="Calibri Light"/>
        </w:rPr>
        <w:t>h</w:t>
      </w:r>
      <w:r w:rsidR="001C0B81" w:rsidRPr="00B55D2B">
        <w:rPr>
          <w:rFonts w:ascii="Calibri Light" w:hAnsi="Calibri Light" w:cs="Calibri Light"/>
        </w:rPr>
        <w:t xml:space="preserve"> approach through a coordinated and sustained cross-sectoral response to </w:t>
      </w:r>
      <w:r w:rsidR="0094086C" w:rsidRPr="00B55D2B">
        <w:rPr>
          <w:rFonts w:ascii="Calibri Light" w:hAnsi="Calibri Light" w:cs="Calibri Light"/>
        </w:rPr>
        <w:t>antimicrobial resistance</w:t>
      </w:r>
      <w:r w:rsidR="001C0B81" w:rsidRPr="00B55D2B">
        <w:rPr>
          <w:rFonts w:ascii="Calibri Light" w:hAnsi="Calibri Light" w:cs="Calibri Light"/>
        </w:rPr>
        <w:t>.</w:t>
      </w:r>
    </w:p>
    <w:p w14:paraId="5EED521D" w14:textId="297017E4" w:rsidR="006E79CD" w:rsidRPr="00B55D2B" w:rsidRDefault="00B45008" w:rsidP="0062142A">
      <w:pPr>
        <w:spacing w:after="120" w:line="240" w:lineRule="auto"/>
        <w:rPr>
          <w:rFonts w:ascii="Calibri Light" w:hAnsi="Calibri Light" w:cs="Calibri Light"/>
        </w:rPr>
      </w:pPr>
      <w:r w:rsidRPr="00B55D2B">
        <w:rPr>
          <w:rFonts w:ascii="Calibri Light" w:hAnsi="Calibri Light" w:cs="Calibri Light"/>
        </w:rPr>
        <w:t>T</w:t>
      </w:r>
      <w:r w:rsidR="006E79CD" w:rsidRPr="00B55D2B">
        <w:rPr>
          <w:rFonts w:ascii="Calibri Light" w:hAnsi="Calibri Light" w:cs="Calibri Light"/>
        </w:rPr>
        <w:t xml:space="preserve">he </w:t>
      </w:r>
      <w:r w:rsidR="006E79CD" w:rsidRPr="00B55D2B">
        <w:rPr>
          <w:rFonts w:ascii="Calibri Light" w:hAnsi="Calibri Light" w:cs="Calibri Light"/>
          <w:i/>
        </w:rPr>
        <w:t>2020 Strategy</w:t>
      </w:r>
      <w:r w:rsidR="006E79CD" w:rsidRPr="00B55D2B">
        <w:rPr>
          <w:rFonts w:ascii="Calibri Light" w:hAnsi="Calibri Light" w:cs="Calibri Light"/>
        </w:rPr>
        <w:t xml:space="preserve"> </w:t>
      </w:r>
      <w:r w:rsidRPr="00B55D2B">
        <w:rPr>
          <w:rFonts w:ascii="Calibri Light" w:hAnsi="Calibri Light" w:cs="Calibri Light"/>
        </w:rPr>
        <w:t>build</w:t>
      </w:r>
      <w:r w:rsidR="00774D53">
        <w:rPr>
          <w:rFonts w:ascii="Calibri Light" w:hAnsi="Calibri Light" w:cs="Calibri Light"/>
        </w:rPr>
        <w:t>s</w:t>
      </w:r>
      <w:r w:rsidRPr="00B55D2B">
        <w:rPr>
          <w:rFonts w:ascii="Calibri Light" w:hAnsi="Calibri Light" w:cs="Calibri Light"/>
        </w:rPr>
        <w:t xml:space="preserve"> on the original</w:t>
      </w:r>
      <w:r w:rsidR="00B8777E" w:rsidRPr="00B55D2B">
        <w:rPr>
          <w:rFonts w:ascii="Calibri Light" w:hAnsi="Calibri Light" w:cs="Calibri Light"/>
        </w:rPr>
        <w:t xml:space="preserve"> 2015 strategy, </w:t>
      </w:r>
      <w:r w:rsidR="006E79CD" w:rsidRPr="00B55D2B">
        <w:rPr>
          <w:rFonts w:ascii="Calibri Light" w:hAnsi="Calibri Light" w:cs="Calibri Light"/>
        </w:rPr>
        <w:t>broaden</w:t>
      </w:r>
      <w:r w:rsidR="00B8777E" w:rsidRPr="00B55D2B">
        <w:rPr>
          <w:rFonts w:ascii="Calibri Light" w:hAnsi="Calibri Light" w:cs="Calibri Light"/>
        </w:rPr>
        <w:t xml:space="preserve">ing </w:t>
      </w:r>
      <w:r w:rsidR="0003609D">
        <w:rPr>
          <w:rFonts w:ascii="Calibri Light" w:hAnsi="Calibri Light" w:cs="Calibri Light"/>
        </w:rPr>
        <w:t>its</w:t>
      </w:r>
      <w:r w:rsidR="0003609D" w:rsidRPr="00B55D2B">
        <w:rPr>
          <w:rFonts w:ascii="Calibri Light" w:hAnsi="Calibri Light" w:cs="Calibri Light"/>
        </w:rPr>
        <w:t xml:space="preserve"> </w:t>
      </w:r>
      <w:r w:rsidR="00B8777E" w:rsidRPr="00B55D2B">
        <w:rPr>
          <w:rFonts w:ascii="Calibri Light" w:hAnsi="Calibri Light" w:cs="Calibri Light"/>
        </w:rPr>
        <w:t xml:space="preserve">ambit </w:t>
      </w:r>
      <w:r w:rsidR="006E79CD" w:rsidRPr="00B55D2B">
        <w:rPr>
          <w:rFonts w:ascii="Calibri Light" w:hAnsi="Calibri Light" w:cs="Calibri Light"/>
        </w:rPr>
        <w:t xml:space="preserve">to </w:t>
      </w:r>
      <w:r w:rsidR="00B8777E" w:rsidRPr="00B55D2B">
        <w:rPr>
          <w:rFonts w:ascii="Calibri Light" w:hAnsi="Calibri Light" w:cs="Calibri Light"/>
        </w:rPr>
        <w:t>encompass</w:t>
      </w:r>
      <w:r w:rsidR="006E79CD" w:rsidRPr="00B55D2B">
        <w:rPr>
          <w:rFonts w:ascii="Calibri Light" w:hAnsi="Calibri Light" w:cs="Calibri Light"/>
        </w:rPr>
        <w:t xml:space="preserve"> </w:t>
      </w:r>
      <w:r w:rsidR="00B8777E" w:rsidRPr="00B55D2B">
        <w:rPr>
          <w:rFonts w:ascii="Calibri Light" w:hAnsi="Calibri Light" w:cs="Calibri Light"/>
        </w:rPr>
        <w:t xml:space="preserve">food, </w:t>
      </w:r>
      <w:r w:rsidR="006E79CD" w:rsidRPr="00B55D2B">
        <w:rPr>
          <w:rFonts w:ascii="Calibri Light" w:hAnsi="Calibri Light" w:cs="Calibri Light"/>
        </w:rPr>
        <w:t>the environment</w:t>
      </w:r>
      <w:r w:rsidR="00B8777E" w:rsidRPr="00B55D2B">
        <w:rPr>
          <w:rFonts w:ascii="Calibri Light" w:hAnsi="Calibri Light" w:cs="Calibri Light"/>
        </w:rPr>
        <w:t xml:space="preserve"> </w:t>
      </w:r>
      <w:r w:rsidR="006E79CD" w:rsidRPr="00B55D2B">
        <w:rPr>
          <w:rFonts w:ascii="Calibri Light" w:hAnsi="Calibri Light" w:cs="Calibri Light"/>
        </w:rPr>
        <w:t xml:space="preserve">and other </w:t>
      </w:r>
      <w:r w:rsidR="00B8777E" w:rsidRPr="00B55D2B">
        <w:rPr>
          <w:rFonts w:ascii="Calibri Light" w:hAnsi="Calibri Light" w:cs="Calibri Light"/>
        </w:rPr>
        <w:t xml:space="preserve">classes of </w:t>
      </w:r>
      <w:r w:rsidR="006E79CD" w:rsidRPr="00B55D2B">
        <w:rPr>
          <w:rFonts w:ascii="Calibri Light" w:hAnsi="Calibri Light" w:cs="Calibri Light"/>
        </w:rPr>
        <w:t>antimicrobials such as antifungals and antivirals.</w:t>
      </w:r>
      <w:r w:rsidR="0062142A" w:rsidRPr="00B55D2B">
        <w:rPr>
          <w:rFonts w:ascii="Calibri Light" w:hAnsi="Calibri Light" w:cs="Calibri Light"/>
        </w:rPr>
        <w:t xml:space="preserve"> It </w:t>
      </w:r>
      <w:r w:rsidR="00890A6B" w:rsidRPr="00B55D2B">
        <w:rPr>
          <w:rFonts w:ascii="Calibri Light" w:hAnsi="Calibri Light" w:cs="Calibri Light"/>
        </w:rPr>
        <w:t xml:space="preserve">will be </w:t>
      </w:r>
      <w:r w:rsidR="0062142A" w:rsidRPr="00B55D2B">
        <w:rPr>
          <w:rFonts w:ascii="Calibri Light" w:hAnsi="Calibri Light" w:cs="Calibri Light"/>
        </w:rPr>
        <w:t>underpinned by a series of national and sector</w:t>
      </w:r>
      <w:r w:rsidR="004B66F6" w:rsidRPr="00B55D2B">
        <w:rPr>
          <w:rFonts w:ascii="Calibri Light" w:hAnsi="Calibri Light" w:cs="Calibri Light"/>
        </w:rPr>
        <w:t>-</w:t>
      </w:r>
      <w:r w:rsidR="0062142A" w:rsidRPr="00B55D2B">
        <w:rPr>
          <w:rFonts w:ascii="Calibri Light" w:hAnsi="Calibri Light" w:cs="Calibri Light"/>
        </w:rPr>
        <w:t>specific action plans which will outline the short</w:t>
      </w:r>
      <w:r w:rsidR="0003609D">
        <w:rPr>
          <w:rFonts w:ascii="Calibri Light" w:hAnsi="Calibri Light" w:cs="Calibri Light"/>
        </w:rPr>
        <w:t>-</w:t>
      </w:r>
      <w:r w:rsidR="0062142A" w:rsidRPr="00B55D2B">
        <w:rPr>
          <w:rFonts w:ascii="Calibri Light" w:hAnsi="Calibri Light" w:cs="Calibri Light"/>
        </w:rPr>
        <w:t xml:space="preserve"> to medium</w:t>
      </w:r>
      <w:r w:rsidR="0003609D">
        <w:rPr>
          <w:rFonts w:ascii="Calibri Light" w:hAnsi="Calibri Light" w:cs="Calibri Light"/>
        </w:rPr>
        <w:t>-</w:t>
      </w:r>
      <w:r w:rsidR="0062142A" w:rsidRPr="00B55D2B">
        <w:rPr>
          <w:rFonts w:ascii="Calibri Light" w:hAnsi="Calibri Light" w:cs="Calibri Light"/>
        </w:rPr>
        <w:t xml:space="preserve">term goals </w:t>
      </w:r>
      <w:r w:rsidR="004B66F6" w:rsidRPr="00B55D2B">
        <w:rPr>
          <w:rFonts w:ascii="Calibri Light" w:hAnsi="Calibri Light" w:cs="Calibri Light"/>
        </w:rPr>
        <w:t xml:space="preserve">that are needed to </w:t>
      </w:r>
      <w:r w:rsidR="0062142A" w:rsidRPr="00B55D2B">
        <w:rPr>
          <w:rFonts w:ascii="Calibri Light" w:hAnsi="Calibri Light" w:cs="Calibri Light"/>
        </w:rPr>
        <w:t>achiev</w:t>
      </w:r>
      <w:r w:rsidR="004B66F6" w:rsidRPr="00B55D2B">
        <w:rPr>
          <w:rFonts w:ascii="Calibri Light" w:hAnsi="Calibri Light" w:cs="Calibri Light"/>
        </w:rPr>
        <w:t>e</w:t>
      </w:r>
      <w:r w:rsidR="0062142A" w:rsidRPr="00B55D2B">
        <w:rPr>
          <w:rFonts w:ascii="Calibri Light" w:hAnsi="Calibri Light" w:cs="Calibri Light"/>
        </w:rPr>
        <w:t xml:space="preserve"> the vision.</w:t>
      </w:r>
    </w:p>
    <w:p w14:paraId="517418FF" w14:textId="77777777" w:rsidR="008023B5" w:rsidRPr="006E255B" w:rsidRDefault="006E79CD" w:rsidP="00930229">
      <w:pPr>
        <w:spacing w:after="120" w:line="240" w:lineRule="auto"/>
        <w:rPr>
          <w:rFonts w:ascii="Calibri Light" w:hAnsi="Calibri Light" w:cs="Calibri Light"/>
        </w:rPr>
      </w:pPr>
      <w:r w:rsidRPr="00B55D2B">
        <w:rPr>
          <w:rFonts w:ascii="Calibri Light" w:hAnsi="Calibri Light" w:cs="Calibri Light"/>
        </w:rPr>
        <w:t>T</w:t>
      </w:r>
      <w:r w:rsidR="008023B5" w:rsidRPr="00B55D2B">
        <w:rPr>
          <w:rFonts w:ascii="Calibri Light" w:hAnsi="Calibri Light" w:cs="Calibri Light"/>
        </w:rPr>
        <w:t xml:space="preserve">he </w:t>
      </w:r>
      <w:r w:rsidR="008023B5" w:rsidRPr="00B55D2B">
        <w:rPr>
          <w:rFonts w:ascii="Calibri Light" w:hAnsi="Calibri Light" w:cs="Calibri Light"/>
          <w:i/>
        </w:rPr>
        <w:t>2020 Strategy</w:t>
      </w:r>
      <w:r w:rsidR="008023B5" w:rsidRPr="00B55D2B">
        <w:rPr>
          <w:rFonts w:ascii="Calibri Light" w:hAnsi="Calibri Light" w:cs="Calibri Light"/>
        </w:rPr>
        <w:t xml:space="preserve"> represents the collective, expert views of stakeholders </w:t>
      </w:r>
      <w:r w:rsidR="004B66F6" w:rsidRPr="00B55D2B">
        <w:rPr>
          <w:rFonts w:ascii="Calibri Light" w:hAnsi="Calibri Light" w:cs="Calibri Light"/>
        </w:rPr>
        <w:t xml:space="preserve">– </w:t>
      </w:r>
      <w:r w:rsidR="008023B5" w:rsidRPr="00B55D2B">
        <w:rPr>
          <w:rFonts w:ascii="Calibri Light" w:hAnsi="Calibri Light" w:cs="Calibri Light"/>
        </w:rPr>
        <w:t xml:space="preserve">from across </w:t>
      </w:r>
      <w:r w:rsidR="00FF4201" w:rsidRPr="00B55D2B">
        <w:rPr>
          <w:rFonts w:ascii="Calibri Light" w:hAnsi="Calibri Light" w:cs="Calibri Light"/>
        </w:rPr>
        <w:t xml:space="preserve">governments and </w:t>
      </w:r>
      <w:r w:rsidR="008023B5" w:rsidRPr="00B55D2B">
        <w:rPr>
          <w:rFonts w:ascii="Calibri Light" w:hAnsi="Calibri Light" w:cs="Calibri Light"/>
        </w:rPr>
        <w:t>the animal and human health, environment, agricultural and</w:t>
      </w:r>
      <w:r w:rsidR="008023B5" w:rsidRPr="006E255B">
        <w:rPr>
          <w:rFonts w:ascii="Calibri Light" w:hAnsi="Calibri Light" w:cs="Calibri Light"/>
        </w:rPr>
        <w:t xml:space="preserve"> food sectors </w:t>
      </w:r>
      <w:r w:rsidR="004B66F6">
        <w:rPr>
          <w:rFonts w:ascii="Calibri Light" w:hAnsi="Calibri Light" w:cs="Calibri Light"/>
        </w:rPr>
        <w:t xml:space="preserve">– </w:t>
      </w:r>
      <w:r w:rsidR="008023B5" w:rsidRPr="006E255B">
        <w:rPr>
          <w:rFonts w:ascii="Calibri Light" w:hAnsi="Calibri Light" w:cs="Calibri Light"/>
        </w:rPr>
        <w:t xml:space="preserve">on how best to combat </w:t>
      </w:r>
      <w:r w:rsidR="0094086C" w:rsidRPr="006E255B">
        <w:rPr>
          <w:rFonts w:ascii="Calibri Light" w:hAnsi="Calibri Light" w:cs="Calibri Light"/>
        </w:rPr>
        <w:t>antimicrobial resistance</w:t>
      </w:r>
      <w:r w:rsidR="008023B5" w:rsidRPr="006E255B">
        <w:rPr>
          <w:rFonts w:ascii="Calibri Light" w:hAnsi="Calibri Light" w:cs="Calibri Light"/>
        </w:rPr>
        <w:t>. It also maintains</w:t>
      </w:r>
      <w:r w:rsidR="006D6354" w:rsidRPr="006E255B">
        <w:rPr>
          <w:rFonts w:ascii="Calibri Light" w:hAnsi="Calibri Light" w:cs="Calibri Light"/>
        </w:rPr>
        <w:t xml:space="preserve"> its alignment with the World Health Assembly</w:t>
      </w:r>
      <w:r w:rsidR="004B66F6">
        <w:rPr>
          <w:rFonts w:ascii="Calibri Light" w:hAnsi="Calibri Light" w:cs="Calibri Light"/>
        </w:rPr>
        <w:t>-</w:t>
      </w:r>
      <w:r w:rsidR="006D6354" w:rsidRPr="006E255B">
        <w:rPr>
          <w:rFonts w:ascii="Calibri Light" w:hAnsi="Calibri Light" w:cs="Calibri Light"/>
        </w:rPr>
        <w:t xml:space="preserve">endorsed Global Action Plan on </w:t>
      </w:r>
      <w:r w:rsidR="0094086C">
        <w:rPr>
          <w:rFonts w:ascii="Calibri Light" w:hAnsi="Calibri Light" w:cs="Calibri Light"/>
        </w:rPr>
        <w:t>A</w:t>
      </w:r>
      <w:r w:rsidR="0094086C" w:rsidRPr="006E255B">
        <w:rPr>
          <w:rFonts w:ascii="Calibri Light" w:hAnsi="Calibri Light" w:cs="Calibri Light"/>
        </w:rPr>
        <w:t xml:space="preserve">ntimicrobial </w:t>
      </w:r>
      <w:r w:rsidR="0094086C">
        <w:rPr>
          <w:rFonts w:ascii="Calibri Light" w:hAnsi="Calibri Light" w:cs="Calibri Light"/>
        </w:rPr>
        <w:t>R</w:t>
      </w:r>
      <w:r w:rsidR="0094086C" w:rsidRPr="006E255B">
        <w:rPr>
          <w:rFonts w:ascii="Calibri Light" w:hAnsi="Calibri Light" w:cs="Calibri Light"/>
        </w:rPr>
        <w:t xml:space="preserve">esistance </w:t>
      </w:r>
      <w:r w:rsidR="006D6354" w:rsidRPr="006E255B">
        <w:rPr>
          <w:rFonts w:ascii="Calibri Light" w:hAnsi="Calibri Light" w:cs="Calibri Light"/>
        </w:rPr>
        <w:t xml:space="preserve">and a </w:t>
      </w:r>
      <w:r w:rsidR="008023B5" w:rsidRPr="006E255B">
        <w:rPr>
          <w:rFonts w:ascii="Calibri Light" w:hAnsi="Calibri Light" w:cs="Calibri Light"/>
        </w:rPr>
        <w:t xml:space="preserve">commitment to continue to support global and regional efforts to manage the threat of </w:t>
      </w:r>
      <w:r w:rsidR="0094086C" w:rsidRPr="006E255B">
        <w:rPr>
          <w:rFonts w:ascii="Calibri Light" w:hAnsi="Calibri Light" w:cs="Calibri Light"/>
        </w:rPr>
        <w:t>antimicrobial resistance</w:t>
      </w:r>
      <w:r w:rsidR="008023B5" w:rsidRPr="006E255B">
        <w:rPr>
          <w:rFonts w:ascii="Calibri Light" w:hAnsi="Calibri Light" w:cs="Calibri Light"/>
        </w:rPr>
        <w:t xml:space="preserve">.  </w:t>
      </w:r>
    </w:p>
    <w:p w14:paraId="6DEFCF24" w14:textId="3E096E87" w:rsidR="00FF4201" w:rsidRPr="006E255B" w:rsidRDefault="00544B9A" w:rsidP="00930229">
      <w:pPr>
        <w:spacing w:after="120" w:line="240" w:lineRule="auto"/>
        <w:rPr>
          <w:rFonts w:ascii="Calibri Light" w:hAnsi="Calibri Light" w:cs="Calibri Light"/>
        </w:rPr>
      </w:pPr>
      <w:r>
        <w:rPr>
          <w:rFonts w:ascii="Calibri Light" w:hAnsi="Calibri Light" w:cs="Calibri Light"/>
        </w:rPr>
        <w:t>On 13 March 2020</w:t>
      </w:r>
      <w:r w:rsidR="00FF4201" w:rsidRPr="00544B9A">
        <w:rPr>
          <w:rFonts w:ascii="Calibri Light" w:hAnsi="Calibri Light" w:cs="Calibri Light"/>
        </w:rPr>
        <w:t>,</w:t>
      </w:r>
      <w:r w:rsidR="00FF4201" w:rsidRPr="006E255B">
        <w:rPr>
          <w:rFonts w:ascii="Calibri Light" w:hAnsi="Calibri Light" w:cs="Calibri Light"/>
          <w:color w:val="FF0000"/>
        </w:rPr>
        <w:t xml:space="preserve"> </w:t>
      </w:r>
      <w:r w:rsidR="00FF4201" w:rsidRPr="006E255B">
        <w:rPr>
          <w:rFonts w:ascii="Calibri Light" w:hAnsi="Calibri Light" w:cs="Calibri Light"/>
        </w:rPr>
        <w:t xml:space="preserve">the </w:t>
      </w:r>
      <w:r w:rsidR="00FF4201" w:rsidRPr="006E255B">
        <w:rPr>
          <w:rFonts w:ascii="Calibri Light" w:hAnsi="Calibri Light" w:cs="Calibri Light"/>
          <w:i/>
        </w:rPr>
        <w:t xml:space="preserve">2020 Strategy </w:t>
      </w:r>
      <w:r w:rsidR="00FF4201" w:rsidRPr="006E255B">
        <w:rPr>
          <w:rFonts w:ascii="Calibri Light" w:hAnsi="Calibri Light" w:cs="Calibri Light"/>
        </w:rPr>
        <w:t xml:space="preserve">was endorsed by the Council of Australian Governments (COAG) in recognition that combatting </w:t>
      </w:r>
      <w:r w:rsidR="0081207F" w:rsidRPr="006E255B">
        <w:rPr>
          <w:rFonts w:ascii="Calibri Light" w:hAnsi="Calibri Light" w:cs="Calibri Light"/>
        </w:rPr>
        <w:t xml:space="preserve">antimicrobial resistance </w:t>
      </w:r>
      <w:r w:rsidR="00FF4201" w:rsidRPr="006E255B">
        <w:rPr>
          <w:rFonts w:ascii="Calibri Light" w:hAnsi="Calibri Light" w:cs="Calibri Light"/>
        </w:rPr>
        <w:t xml:space="preserve">is </w:t>
      </w:r>
      <w:r w:rsidR="006800CF">
        <w:rPr>
          <w:rFonts w:ascii="Calibri Light" w:hAnsi="Calibri Light" w:cs="Calibri Light"/>
        </w:rPr>
        <w:t xml:space="preserve">a </w:t>
      </w:r>
      <w:r w:rsidR="00FF4201" w:rsidRPr="006E255B">
        <w:rPr>
          <w:rFonts w:ascii="Calibri Light" w:hAnsi="Calibri Light" w:cs="Calibri Light"/>
        </w:rPr>
        <w:t xml:space="preserve">matter of national </w:t>
      </w:r>
      <w:r w:rsidR="0081207F">
        <w:rPr>
          <w:rFonts w:ascii="Calibri Light" w:hAnsi="Calibri Light" w:cs="Calibri Light"/>
        </w:rPr>
        <w:t>importance</w:t>
      </w:r>
      <w:r w:rsidR="00FF4201" w:rsidRPr="006E255B">
        <w:rPr>
          <w:rFonts w:ascii="Calibri Light" w:hAnsi="Calibri Light" w:cs="Calibri Light"/>
        </w:rPr>
        <w:t xml:space="preserve"> and requires coordinated action by all Australian governments</w:t>
      </w:r>
      <w:r w:rsidR="0081207F">
        <w:rPr>
          <w:rFonts w:ascii="Calibri Light" w:hAnsi="Calibri Light" w:cs="Calibri Light"/>
        </w:rPr>
        <w:t xml:space="preserve">, </w:t>
      </w:r>
      <w:r w:rsidR="006E79CD" w:rsidRPr="006E255B">
        <w:rPr>
          <w:rFonts w:ascii="Calibri Light" w:hAnsi="Calibri Light" w:cs="Calibri Light"/>
        </w:rPr>
        <w:t xml:space="preserve">along with </w:t>
      </w:r>
      <w:r w:rsidR="00334096" w:rsidRPr="006E255B">
        <w:rPr>
          <w:rFonts w:ascii="Calibri Light" w:hAnsi="Calibri Light" w:cs="Calibri Light"/>
        </w:rPr>
        <w:t xml:space="preserve">the private sector, </w:t>
      </w:r>
      <w:r w:rsidR="006E79CD" w:rsidRPr="006E255B">
        <w:rPr>
          <w:rFonts w:ascii="Calibri Light" w:hAnsi="Calibri Light" w:cs="Calibri Light"/>
        </w:rPr>
        <w:t>industry</w:t>
      </w:r>
      <w:r w:rsidR="00334096" w:rsidRPr="006E255B">
        <w:rPr>
          <w:rFonts w:ascii="Calibri Light" w:hAnsi="Calibri Light" w:cs="Calibri Light"/>
        </w:rPr>
        <w:t>, professionals, the research community</w:t>
      </w:r>
      <w:r w:rsidR="006E79CD" w:rsidRPr="006E255B">
        <w:rPr>
          <w:rFonts w:ascii="Calibri Light" w:hAnsi="Calibri Light" w:cs="Calibri Light"/>
        </w:rPr>
        <w:t xml:space="preserve"> and the general public</w:t>
      </w:r>
      <w:r w:rsidR="006441D1">
        <w:rPr>
          <w:rFonts w:ascii="Calibri Light" w:hAnsi="Calibri Light" w:cs="Calibri Light"/>
        </w:rPr>
        <w:t xml:space="preserve">. Only such </w:t>
      </w:r>
      <w:r w:rsidR="002343D3">
        <w:rPr>
          <w:rFonts w:ascii="Calibri Light" w:hAnsi="Calibri Light" w:cs="Calibri Light"/>
        </w:rPr>
        <w:t>comprehensive</w:t>
      </w:r>
      <w:r w:rsidR="006441D1">
        <w:rPr>
          <w:rFonts w:ascii="Calibri Light" w:hAnsi="Calibri Light" w:cs="Calibri Light"/>
        </w:rPr>
        <w:t xml:space="preserve">, </w:t>
      </w:r>
      <w:r w:rsidR="002343D3">
        <w:rPr>
          <w:rFonts w:ascii="Calibri Light" w:hAnsi="Calibri Light" w:cs="Calibri Light"/>
        </w:rPr>
        <w:t>coordinated</w:t>
      </w:r>
      <w:r w:rsidR="006441D1">
        <w:rPr>
          <w:rFonts w:ascii="Calibri Light" w:hAnsi="Calibri Light" w:cs="Calibri Light"/>
        </w:rPr>
        <w:t xml:space="preserve"> action can ensure </w:t>
      </w:r>
      <w:r w:rsidR="006E79CD" w:rsidRPr="006E255B">
        <w:rPr>
          <w:rFonts w:ascii="Calibri Light" w:hAnsi="Calibri Light" w:cs="Calibri Light"/>
        </w:rPr>
        <w:t xml:space="preserve">we achieve </w:t>
      </w:r>
      <w:r w:rsidR="002343D3">
        <w:rPr>
          <w:rFonts w:ascii="Calibri Light" w:hAnsi="Calibri Light" w:cs="Calibri Light"/>
        </w:rPr>
        <w:t>the</w:t>
      </w:r>
      <w:r w:rsidR="006E79CD" w:rsidRPr="006E255B">
        <w:rPr>
          <w:rFonts w:ascii="Calibri Light" w:hAnsi="Calibri Light" w:cs="Calibri Light"/>
        </w:rPr>
        <w:t xml:space="preserve"> </w:t>
      </w:r>
      <w:r w:rsidR="006441D1">
        <w:rPr>
          <w:rFonts w:ascii="Calibri Light" w:hAnsi="Calibri Light" w:cs="Calibri Light"/>
        </w:rPr>
        <w:t xml:space="preserve">goal </w:t>
      </w:r>
      <w:r w:rsidR="002343D3">
        <w:rPr>
          <w:rFonts w:ascii="Calibri Light" w:hAnsi="Calibri Light" w:cs="Calibri Light"/>
        </w:rPr>
        <w:t>of</w:t>
      </w:r>
      <w:r w:rsidR="006441D1">
        <w:rPr>
          <w:rFonts w:ascii="Calibri Light" w:hAnsi="Calibri Light" w:cs="Calibri Light"/>
        </w:rPr>
        <w:t xml:space="preserve"> </w:t>
      </w:r>
      <w:r w:rsidR="002343D3">
        <w:rPr>
          <w:rFonts w:ascii="Calibri Light" w:hAnsi="Calibri Light" w:cs="Calibri Light"/>
        </w:rPr>
        <w:t xml:space="preserve">preserving the power and usefulness of </w:t>
      </w:r>
      <w:r w:rsidR="002343D3" w:rsidRPr="006E255B">
        <w:rPr>
          <w:rFonts w:ascii="Calibri Light" w:hAnsi="Calibri Light" w:cs="Calibri Light"/>
        </w:rPr>
        <w:t>antimicrobial</w:t>
      </w:r>
      <w:r w:rsidR="002343D3">
        <w:rPr>
          <w:rFonts w:ascii="Calibri Light" w:hAnsi="Calibri Light" w:cs="Calibri Light"/>
        </w:rPr>
        <w:t>s to Australian society and the economy</w:t>
      </w:r>
      <w:r w:rsidR="006E79CD" w:rsidRPr="006E255B">
        <w:rPr>
          <w:rFonts w:ascii="Calibri Light" w:hAnsi="Calibri Light" w:cs="Calibri Light"/>
        </w:rPr>
        <w:t>.</w:t>
      </w:r>
    </w:p>
    <w:p w14:paraId="23EA967C" w14:textId="77777777" w:rsidR="006D6354" w:rsidRPr="006E255B" w:rsidRDefault="006D6354" w:rsidP="00930229">
      <w:pPr>
        <w:spacing w:after="120" w:line="240" w:lineRule="auto"/>
      </w:pPr>
    </w:p>
    <w:p w14:paraId="6A9437E6" w14:textId="77777777" w:rsidR="00384B4A" w:rsidRDefault="00930229">
      <w:r w:rsidRPr="006E255B">
        <w:br w:type="page"/>
      </w:r>
    </w:p>
    <w:p w14:paraId="53315A2E" w14:textId="77777777" w:rsidR="00384B4A" w:rsidRPr="006E255B" w:rsidRDefault="00384B4A" w:rsidP="008C3900">
      <w:pPr>
        <w:pStyle w:val="Heading1"/>
        <w:spacing w:before="0" w:after="120" w:line="240" w:lineRule="auto"/>
        <w:contextualSpacing w:val="0"/>
        <w:rPr>
          <w:b/>
        </w:rPr>
      </w:pPr>
      <w:bookmarkStart w:id="2" w:name="_Toc18311677"/>
      <w:r>
        <w:rPr>
          <w:b/>
        </w:rPr>
        <w:lastRenderedPageBreak/>
        <w:t>Glossary</w:t>
      </w:r>
      <w:bookmarkEnd w:id="2"/>
      <w:r>
        <w:rPr>
          <w:b/>
        </w:rPr>
        <w:t xml:space="preserve"> </w:t>
      </w:r>
    </w:p>
    <w:p w14:paraId="275D7892" w14:textId="77777777" w:rsidR="00116341" w:rsidRDefault="00116341" w:rsidP="008C3900">
      <w:pPr>
        <w:spacing w:after="120"/>
        <w:rPr>
          <w:rFonts w:ascii="Calibri Light" w:hAnsi="Calibri Light" w:cs="Calibri Light"/>
          <w:b/>
          <w:bCs/>
        </w:rPr>
        <w:sectPr w:rsidR="00116341" w:rsidSect="00557078">
          <w:headerReference w:type="default" r:id="rId8"/>
          <w:footerReference w:type="even" r:id="rId9"/>
          <w:footerReference w:type="default" r:id="rId10"/>
          <w:pgSz w:w="11906" w:h="16838"/>
          <w:pgMar w:top="1134" w:right="1440" w:bottom="709" w:left="1440" w:header="708" w:footer="708" w:gutter="0"/>
          <w:cols w:space="708"/>
          <w:docGrid w:linePitch="360"/>
        </w:sectPr>
      </w:pPr>
    </w:p>
    <w:p w14:paraId="47E7350E" w14:textId="77777777" w:rsidR="00FC7784" w:rsidRPr="00A32F27" w:rsidRDefault="00FC7784" w:rsidP="008C3900">
      <w:pPr>
        <w:spacing w:after="120" w:line="240" w:lineRule="auto"/>
        <w:rPr>
          <w:rFonts w:ascii="Calibri Light" w:hAnsi="Calibri Light" w:cs="Calibri Light"/>
          <w:sz w:val="18"/>
          <w:szCs w:val="18"/>
        </w:rPr>
      </w:pPr>
      <w:r w:rsidRPr="00A32F27">
        <w:rPr>
          <w:rFonts w:ascii="Calibri Light" w:hAnsi="Calibri Light" w:cs="Calibri Light"/>
          <w:b/>
          <w:bCs/>
          <w:sz w:val="18"/>
          <w:szCs w:val="18"/>
        </w:rPr>
        <w:t>Antimicrobial:</w:t>
      </w:r>
      <w:r w:rsidRPr="00A32F27">
        <w:rPr>
          <w:rFonts w:ascii="Calibri Light" w:hAnsi="Calibri Light" w:cs="Calibri Light"/>
          <w:sz w:val="18"/>
          <w:szCs w:val="18"/>
        </w:rPr>
        <w:t xml:space="preserve">  </w:t>
      </w:r>
      <w:r w:rsidR="00E15333" w:rsidRPr="00682E15">
        <w:rPr>
          <w:rFonts w:ascii="Calibri Light" w:hAnsi="Calibri Light" w:cs="Calibri Light"/>
          <w:sz w:val="18"/>
          <w:szCs w:val="18"/>
        </w:rPr>
        <w:t>A</w:t>
      </w:r>
      <w:r w:rsidR="002F57A3">
        <w:rPr>
          <w:rFonts w:ascii="Calibri Light" w:hAnsi="Calibri Light" w:cs="Calibri Light"/>
          <w:sz w:val="18"/>
          <w:szCs w:val="18"/>
        </w:rPr>
        <w:t xml:space="preserve">n active agent, such as a </w:t>
      </w:r>
      <w:r w:rsidR="00363C10">
        <w:rPr>
          <w:rFonts w:ascii="Calibri Light" w:hAnsi="Calibri Light" w:cs="Calibri Light"/>
          <w:sz w:val="18"/>
          <w:szCs w:val="18"/>
        </w:rPr>
        <w:t>medicine</w:t>
      </w:r>
      <w:r w:rsidR="00682E15">
        <w:rPr>
          <w:rFonts w:ascii="Calibri Light" w:hAnsi="Calibri Light" w:cs="Calibri Light"/>
          <w:sz w:val="18"/>
          <w:szCs w:val="18"/>
        </w:rPr>
        <w:t xml:space="preserve">, </w:t>
      </w:r>
      <w:r w:rsidR="00E15333" w:rsidRPr="00682E15">
        <w:rPr>
          <w:rFonts w:ascii="Calibri Light" w:hAnsi="Calibri Light" w:cs="Calibri Light"/>
          <w:sz w:val="18"/>
          <w:szCs w:val="18"/>
        </w:rPr>
        <w:t>that</w:t>
      </w:r>
      <w:r w:rsidR="00682E15">
        <w:rPr>
          <w:rFonts w:ascii="Calibri Light" w:hAnsi="Calibri Light" w:cs="Calibri Light"/>
          <w:sz w:val="18"/>
          <w:szCs w:val="18"/>
        </w:rPr>
        <w:t xml:space="preserve"> – </w:t>
      </w:r>
      <w:r w:rsidR="00E15333" w:rsidRPr="00682E15">
        <w:rPr>
          <w:rFonts w:ascii="Calibri Light" w:hAnsi="Calibri Light" w:cs="Calibri Light"/>
          <w:sz w:val="18"/>
          <w:szCs w:val="18"/>
        </w:rPr>
        <w:t xml:space="preserve">on application to living tissue or </w:t>
      </w:r>
      <w:r w:rsidR="007C4977">
        <w:rPr>
          <w:rFonts w:ascii="Calibri Light" w:hAnsi="Calibri Light" w:cs="Calibri Light"/>
          <w:sz w:val="18"/>
          <w:szCs w:val="18"/>
        </w:rPr>
        <w:t>through</w:t>
      </w:r>
      <w:r w:rsidR="007C4977" w:rsidRPr="00682E15">
        <w:rPr>
          <w:rFonts w:ascii="Calibri Light" w:hAnsi="Calibri Light" w:cs="Calibri Light"/>
          <w:sz w:val="18"/>
          <w:szCs w:val="18"/>
        </w:rPr>
        <w:t xml:space="preserve"> </w:t>
      </w:r>
      <w:r w:rsidR="00E15333" w:rsidRPr="00682E15">
        <w:rPr>
          <w:rFonts w:ascii="Calibri Light" w:hAnsi="Calibri Light" w:cs="Calibri Light"/>
          <w:sz w:val="18"/>
          <w:szCs w:val="18"/>
        </w:rPr>
        <w:t xml:space="preserve">systemic </w:t>
      </w:r>
      <w:r w:rsidR="00682E15">
        <w:rPr>
          <w:rFonts w:ascii="Calibri Light" w:hAnsi="Calibri Light" w:cs="Calibri Light"/>
          <w:sz w:val="18"/>
          <w:szCs w:val="18"/>
        </w:rPr>
        <w:t xml:space="preserve">use – </w:t>
      </w:r>
      <w:r w:rsidR="00E15333" w:rsidRPr="00682E15">
        <w:rPr>
          <w:rFonts w:ascii="Calibri Light" w:hAnsi="Calibri Light" w:cs="Calibri Light"/>
          <w:sz w:val="18"/>
          <w:szCs w:val="18"/>
        </w:rPr>
        <w:t>kill</w:t>
      </w:r>
      <w:r w:rsidR="002F57A3">
        <w:rPr>
          <w:rFonts w:ascii="Calibri Light" w:hAnsi="Calibri Light" w:cs="Calibri Light"/>
          <w:sz w:val="18"/>
          <w:szCs w:val="18"/>
        </w:rPr>
        <w:t xml:space="preserve">s, </w:t>
      </w:r>
      <w:r w:rsidR="00E15333" w:rsidRPr="00682E15">
        <w:rPr>
          <w:rFonts w:ascii="Calibri Light" w:hAnsi="Calibri Light" w:cs="Calibri Light"/>
          <w:sz w:val="18"/>
          <w:szCs w:val="18"/>
        </w:rPr>
        <w:t>prevent</w:t>
      </w:r>
      <w:r w:rsidR="002F57A3">
        <w:rPr>
          <w:rFonts w:ascii="Calibri Light" w:hAnsi="Calibri Light" w:cs="Calibri Light"/>
          <w:sz w:val="18"/>
          <w:szCs w:val="18"/>
        </w:rPr>
        <w:t>s</w:t>
      </w:r>
      <w:r w:rsidR="00E15333" w:rsidRPr="00682E15">
        <w:rPr>
          <w:rFonts w:ascii="Calibri Light" w:hAnsi="Calibri Light" w:cs="Calibri Light"/>
          <w:sz w:val="18"/>
          <w:szCs w:val="18"/>
        </w:rPr>
        <w:t xml:space="preserve"> or inhibit</w:t>
      </w:r>
      <w:r w:rsidR="00682E15">
        <w:rPr>
          <w:rFonts w:ascii="Calibri Light" w:hAnsi="Calibri Light" w:cs="Calibri Light"/>
          <w:sz w:val="18"/>
          <w:szCs w:val="18"/>
        </w:rPr>
        <w:t xml:space="preserve">s </w:t>
      </w:r>
      <w:r w:rsidR="002F57A3">
        <w:rPr>
          <w:rFonts w:ascii="Calibri Light" w:hAnsi="Calibri Light" w:cs="Calibri Light"/>
          <w:sz w:val="18"/>
          <w:szCs w:val="18"/>
        </w:rPr>
        <w:t xml:space="preserve">the </w:t>
      </w:r>
      <w:r w:rsidR="00E15333" w:rsidRPr="00682E15">
        <w:rPr>
          <w:rFonts w:ascii="Calibri Light" w:hAnsi="Calibri Light" w:cs="Calibri Light"/>
          <w:sz w:val="18"/>
          <w:szCs w:val="18"/>
        </w:rPr>
        <w:t xml:space="preserve">growth of </w:t>
      </w:r>
      <w:r w:rsidR="002F57A3">
        <w:rPr>
          <w:rFonts w:ascii="Calibri Light" w:hAnsi="Calibri Light" w:cs="Calibri Light"/>
          <w:sz w:val="18"/>
          <w:szCs w:val="18"/>
        </w:rPr>
        <w:t>micro</w:t>
      </w:r>
      <w:r w:rsidR="00E15333" w:rsidRPr="00682E15">
        <w:rPr>
          <w:rFonts w:ascii="Calibri Light" w:hAnsi="Calibri Light" w:cs="Calibri Light"/>
          <w:sz w:val="18"/>
          <w:szCs w:val="18"/>
        </w:rPr>
        <w:t>organisms</w:t>
      </w:r>
      <w:r w:rsidRPr="00A32F27">
        <w:rPr>
          <w:rFonts w:ascii="Calibri Light" w:hAnsi="Calibri Light" w:cs="Calibri Light"/>
          <w:sz w:val="18"/>
          <w:szCs w:val="18"/>
        </w:rPr>
        <w:t>. Antimicrobial</w:t>
      </w:r>
      <w:r w:rsidR="00032F1C">
        <w:rPr>
          <w:rFonts w:ascii="Calibri Light" w:hAnsi="Calibri Light" w:cs="Calibri Light"/>
          <w:sz w:val="18"/>
          <w:szCs w:val="18"/>
        </w:rPr>
        <w:t>s</w:t>
      </w:r>
      <w:r w:rsidRPr="00A32F27">
        <w:rPr>
          <w:rFonts w:ascii="Calibri Light" w:hAnsi="Calibri Light" w:cs="Calibri Light"/>
          <w:sz w:val="18"/>
          <w:szCs w:val="18"/>
        </w:rPr>
        <w:t xml:space="preserve"> include antibiotics, antiseptics, antifungals, antivirals, antimalarials and anthelmintics. </w:t>
      </w:r>
    </w:p>
    <w:p w14:paraId="0BEB46E3" w14:textId="77777777" w:rsidR="00D025BD" w:rsidRPr="00A32F27" w:rsidRDefault="00D025BD" w:rsidP="008C3900">
      <w:pPr>
        <w:spacing w:after="120" w:line="240" w:lineRule="auto"/>
        <w:rPr>
          <w:rFonts w:ascii="Calibri Light" w:hAnsi="Calibri Light" w:cs="Calibri Light"/>
          <w:sz w:val="18"/>
          <w:szCs w:val="18"/>
        </w:rPr>
      </w:pPr>
      <w:r w:rsidRPr="00A32F27">
        <w:rPr>
          <w:rFonts w:ascii="Calibri Light" w:hAnsi="Calibri Light" w:cs="Calibri Light"/>
          <w:b/>
          <w:bCs/>
          <w:sz w:val="18"/>
          <w:szCs w:val="18"/>
        </w:rPr>
        <w:t xml:space="preserve">Antimicrobial resistance (AMR):  </w:t>
      </w:r>
      <w:r w:rsidR="007C4977" w:rsidRPr="007C4977">
        <w:rPr>
          <w:rFonts w:ascii="Calibri Light" w:hAnsi="Calibri Light" w:cs="Calibri Light"/>
          <w:sz w:val="18"/>
          <w:szCs w:val="18"/>
        </w:rPr>
        <w:t xml:space="preserve">The ability of microorganisms – including bacteria, viruses, fungi and parasites – to develop </w:t>
      </w:r>
      <w:r w:rsidR="00907741">
        <w:rPr>
          <w:rFonts w:ascii="Calibri Light" w:hAnsi="Calibri Light" w:cs="Calibri Light"/>
          <w:sz w:val="18"/>
          <w:szCs w:val="18"/>
        </w:rPr>
        <w:t>a</w:t>
      </w:r>
      <w:r w:rsidR="00907741" w:rsidRPr="007C4977">
        <w:rPr>
          <w:rFonts w:ascii="Calibri Light" w:hAnsi="Calibri Light" w:cs="Calibri Light"/>
          <w:sz w:val="18"/>
          <w:szCs w:val="18"/>
        </w:rPr>
        <w:t xml:space="preserve"> </w:t>
      </w:r>
      <w:r w:rsidR="007C4977" w:rsidRPr="007C4977">
        <w:rPr>
          <w:rFonts w:ascii="Calibri Light" w:hAnsi="Calibri Light" w:cs="Calibri Light"/>
          <w:sz w:val="18"/>
          <w:szCs w:val="18"/>
        </w:rPr>
        <w:t xml:space="preserve">capability to grow or survive in the presence of antimicrobials, and to pass this trait </w:t>
      </w:r>
      <w:r w:rsidR="00907741">
        <w:rPr>
          <w:rFonts w:ascii="Calibri Light" w:hAnsi="Calibri Light" w:cs="Calibri Light"/>
          <w:sz w:val="18"/>
          <w:szCs w:val="18"/>
        </w:rPr>
        <w:t>on via</w:t>
      </w:r>
      <w:r w:rsidR="00907741" w:rsidRPr="007C4977">
        <w:rPr>
          <w:rFonts w:ascii="Calibri Light" w:hAnsi="Calibri Light" w:cs="Calibri Light"/>
          <w:sz w:val="18"/>
          <w:szCs w:val="18"/>
        </w:rPr>
        <w:t xml:space="preserve"> </w:t>
      </w:r>
      <w:r w:rsidR="007C4977" w:rsidRPr="007C4977">
        <w:rPr>
          <w:rFonts w:ascii="Calibri Light" w:hAnsi="Calibri Light" w:cs="Calibri Light"/>
          <w:sz w:val="18"/>
          <w:szCs w:val="18"/>
        </w:rPr>
        <w:t>their genes</w:t>
      </w:r>
      <w:r w:rsidR="00907741">
        <w:rPr>
          <w:rFonts w:ascii="Calibri Light" w:hAnsi="Calibri Light" w:cs="Calibri Light"/>
          <w:sz w:val="18"/>
          <w:szCs w:val="18"/>
        </w:rPr>
        <w:t xml:space="preserve"> to other </w:t>
      </w:r>
      <w:r w:rsidR="00907741" w:rsidRPr="007C4977">
        <w:rPr>
          <w:rFonts w:ascii="Calibri Light" w:hAnsi="Calibri Light" w:cs="Calibri Light"/>
          <w:sz w:val="18"/>
          <w:szCs w:val="18"/>
        </w:rPr>
        <w:t>microorganisms</w:t>
      </w:r>
      <w:r w:rsidR="007C4977" w:rsidRPr="007C4977">
        <w:rPr>
          <w:rFonts w:ascii="Calibri Light" w:hAnsi="Calibri Light" w:cs="Calibri Light"/>
          <w:sz w:val="18"/>
          <w:szCs w:val="18"/>
        </w:rPr>
        <w:t>.</w:t>
      </w:r>
    </w:p>
    <w:p w14:paraId="5C0B1C0C" w14:textId="77777777" w:rsidR="00D57543" w:rsidRPr="00A32F27" w:rsidRDefault="00D57543" w:rsidP="008C3900">
      <w:pPr>
        <w:spacing w:after="120" w:line="240" w:lineRule="auto"/>
        <w:rPr>
          <w:rFonts w:ascii="Calibri Light" w:hAnsi="Calibri Light" w:cs="Calibri Light"/>
          <w:sz w:val="18"/>
          <w:szCs w:val="18"/>
        </w:rPr>
      </w:pPr>
      <w:r w:rsidRPr="00A32F27">
        <w:rPr>
          <w:rFonts w:ascii="Calibri Light" w:hAnsi="Calibri Light" w:cs="Calibri Light"/>
          <w:b/>
          <w:bCs/>
          <w:sz w:val="18"/>
          <w:szCs w:val="18"/>
        </w:rPr>
        <w:t xml:space="preserve">Antimicrobial stewardship (AMS): </w:t>
      </w:r>
      <w:r w:rsidR="00C2309D" w:rsidRPr="00A32F27">
        <w:rPr>
          <w:rFonts w:ascii="Calibri Light" w:hAnsi="Calibri Light" w:cs="Calibri Light"/>
          <w:sz w:val="18"/>
          <w:szCs w:val="18"/>
        </w:rPr>
        <w:t xml:space="preserve">The safe and appropriate use of antimicrobials to reduce harm while also </w:t>
      </w:r>
      <w:r w:rsidR="00CD3F04" w:rsidRPr="00A32F27">
        <w:rPr>
          <w:rFonts w:ascii="Calibri Light" w:hAnsi="Calibri Light" w:cs="Calibri Light"/>
          <w:sz w:val="18"/>
          <w:szCs w:val="18"/>
        </w:rPr>
        <w:t>curtailing</w:t>
      </w:r>
      <w:r w:rsidR="00C2309D" w:rsidRPr="00A32F27">
        <w:rPr>
          <w:rFonts w:ascii="Calibri Light" w:hAnsi="Calibri Light" w:cs="Calibri Light"/>
          <w:sz w:val="18"/>
          <w:szCs w:val="18"/>
        </w:rPr>
        <w:t xml:space="preserve"> the incidence of antimicrobial resistance.</w:t>
      </w:r>
    </w:p>
    <w:p w14:paraId="313FF14B" w14:textId="77777777" w:rsidR="00D57543" w:rsidRPr="00D50804" w:rsidRDefault="00D57543" w:rsidP="008C3900">
      <w:pPr>
        <w:spacing w:after="120" w:line="240" w:lineRule="auto"/>
        <w:rPr>
          <w:rFonts w:ascii="Calibri Light" w:hAnsi="Calibri Light" w:cs="Calibri Light"/>
          <w:iCs/>
          <w:sz w:val="18"/>
          <w:szCs w:val="18"/>
        </w:rPr>
      </w:pPr>
      <w:r w:rsidRPr="00A32F27">
        <w:rPr>
          <w:rFonts w:ascii="Calibri Light" w:hAnsi="Calibri Light" w:cs="Calibri Light"/>
          <w:b/>
          <w:bCs/>
          <w:sz w:val="18"/>
          <w:szCs w:val="18"/>
        </w:rPr>
        <w:t xml:space="preserve">Antimicrobial Resistance Governance Group: </w:t>
      </w:r>
      <w:r w:rsidR="00D50804">
        <w:rPr>
          <w:rFonts w:ascii="Calibri Light" w:hAnsi="Calibri Light" w:cs="Calibri Light"/>
          <w:iCs/>
          <w:sz w:val="18"/>
          <w:szCs w:val="18"/>
        </w:rPr>
        <w:t>A group of experts and officials who p</w:t>
      </w:r>
      <w:r w:rsidR="00242A15">
        <w:rPr>
          <w:rFonts w:ascii="Calibri Light" w:hAnsi="Calibri Light" w:cs="Calibri Light"/>
          <w:iCs/>
          <w:sz w:val="18"/>
          <w:szCs w:val="18"/>
        </w:rPr>
        <w:t>rovide national coordination and linkage between sectors; it includes membership of the Australian Government Chief Medical Officer and the Australian Chief Veterinary Officer.</w:t>
      </w:r>
    </w:p>
    <w:p w14:paraId="7D18AA87" w14:textId="77777777" w:rsidR="00FD0D35" w:rsidRPr="00A32F27" w:rsidRDefault="00FD0D35" w:rsidP="008C3900">
      <w:pPr>
        <w:spacing w:after="120" w:line="240" w:lineRule="auto"/>
        <w:rPr>
          <w:rFonts w:ascii="Calibri Light" w:hAnsi="Calibri Light" w:cs="Calibri Light"/>
          <w:b/>
          <w:bCs/>
          <w:sz w:val="18"/>
          <w:szCs w:val="18"/>
        </w:rPr>
      </w:pPr>
      <w:r>
        <w:rPr>
          <w:rFonts w:ascii="Calibri Light" w:hAnsi="Calibri Light" w:cs="Calibri Light"/>
          <w:b/>
          <w:bCs/>
          <w:sz w:val="18"/>
          <w:szCs w:val="18"/>
        </w:rPr>
        <w:t xml:space="preserve">Australian Government </w:t>
      </w:r>
      <w:r w:rsidRPr="00A32F27">
        <w:rPr>
          <w:rFonts w:ascii="Calibri Light" w:hAnsi="Calibri Light" w:cs="Calibri Light"/>
          <w:b/>
          <w:bCs/>
          <w:sz w:val="18"/>
          <w:szCs w:val="18"/>
        </w:rPr>
        <w:t xml:space="preserve">Chief Medical Officer: </w:t>
      </w:r>
      <w:r w:rsidRPr="00A32F27">
        <w:rPr>
          <w:rFonts w:ascii="Calibri Light" w:hAnsi="Calibri Light" w:cs="Calibri Light"/>
          <w:sz w:val="18"/>
          <w:szCs w:val="18"/>
        </w:rPr>
        <w:t>The Australian Government</w:t>
      </w:r>
      <w:r>
        <w:rPr>
          <w:rFonts w:ascii="Calibri Light" w:hAnsi="Calibri Light" w:cs="Calibri Light"/>
          <w:sz w:val="18"/>
          <w:szCs w:val="18"/>
        </w:rPr>
        <w:t>’</w:t>
      </w:r>
      <w:r w:rsidRPr="00A32F27">
        <w:rPr>
          <w:rFonts w:ascii="Calibri Light" w:hAnsi="Calibri Light" w:cs="Calibri Light"/>
          <w:sz w:val="18"/>
          <w:szCs w:val="18"/>
        </w:rPr>
        <w:t>s chief advisor on medical matters for both the Health Minister and the Department of Health.</w:t>
      </w:r>
    </w:p>
    <w:p w14:paraId="3652E68B" w14:textId="77777777" w:rsidR="00FD0D35" w:rsidRPr="00A32F27" w:rsidRDefault="00FD0D35" w:rsidP="008C3900">
      <w:pPr>
        <w:spacing w:after="120" w:line="240" w:lineRule="auto"/>
        <w:rPr>
          <w:b/>
          <w:bCs/>
          <w:sz w:val="18"/>
          <w:szCs w:val="18"/>
        </w:rPr>
      </w:pPr>
      <w:r>
        <w:rPr>
          <w:rFonts w:ascii="Calibri Light" w:hAnsi="Calibri Light" w:cs="Calibri Light"/>
          <w:b/>
          <w:bCs/>
          <w:sz w:val="18"/>
          <w:szCs w:val="18"/>
        </w:rPr>
        <w:t xml:space="preserve">Australian </w:t>
      </w:r>
      <w:r w:rsidRPr="00A32F27">
        <w:rPr>
          <w:rFonts w:ascii="Calibri Light" w:hAnsi="Calibri Light" w:cs="Calibri Light"/>
          <w:b/>
          <w:bCs/>
          <w:sz w:val="18"/>
          <w:szCs w:val="18"/>
        </w:rPr>
        <w:t xml:space="preserve">Chief Veterinary Officer: </w:t>
      </w:r>
      <w:r w:rsidR="00637C31" w:rsidRPr="00637C31">
        <w:rPr>
          <w:rFonts w:ascii="Calibri Light" w:hAnsi="Calibri Light" w:cs="Calibri Light"/>
          <w:sz w:val="18"/>
          <w:szCs w:val="18"/>
        </w:rPr>
        <w:t xml:space="preserve">The </w:t>
      </w:r>
      <w:r w:rsidR="000C51C9">
        <w:rPr>
          <w:rFonts w:ascii="Calibri Light" w:hAnsi="Calibri Light" w:cs="Calibri Light"/>
          <w:sz w:val="18"/>
          <w:szCs w:val="18"/>
        </w:rPr>
        <w:t>chief</w:t>
      </w:r>
      <w:r w:rsidR="000C51C9" w:rsidRPr="00637C31">
        <w:rPr>
          <w:rFonts w:ascii="Calibri Light" w:hAnsi="Calibri Light" w:cs="Calibri Light"/>
          <w:sz w:val="18"/>
          <w:szCs w:val="18"/>
        </w:rPr>
        <w:t xml:space="preserve"> </w:t>
      </w:r>
      <w:r w:rsidR="00637C31" w:rsidRPr="00637C31">
        <w:rPr>
          <w:rFonts w:ascii="Calibri Light" w:hAnsi="Calibri Light" w:cs="Calibri Light"/>
          <w:sz w:val="18"/>
          <w:szCs w:val="18"/>
        </w:rPr>
        <w:t xml:space="preserve">advisor to the Australian Government on </w:t>
      </w:r>
      <w:r w:rsidR="006800CF">
        <w:rPr>
          <w:rFonts w:ascii="Calibri Light" w:hAnsi="Calibri Light" w:cs="Calibri Light"/>
          <w:sz w:val="18"/>
          <w:szCs w:val="18"/>
        </w:rPr>
        <w:t>matters relating to</w:t>
      </w:r>
      <w:r w:rsidR="00637C31" w:rsidRPr="00637C31">
        <w:rPr>
          <w:rFonts w:ascii="Calibri Light" w:hAnsi="Calibri Light" w:cs="Calibri Light"/>
          <w:sz w:val="18"/>
          <w:szCs w:val="18"/>
        </w:rPr>
        <w:t xml:space="preserve"> animal health</w:t>
      </w:r>
      <w:r w:rsidR="006800CF">
        <w:rPr>
          <w:rFonts w:ascii="Calibri Light" w:hAnsi="Calibri Light" w:cs="Calibri Light"/>
          <w:sz w:val="18"/>
          <w:szCs w:val="18"/>
        </w:rPr>
        <w:t>.</w:t>
      </w:r>
    </w:p>
    <w:p w14:paraId="256332BF" w14:textId="77777777" w:rsidR="00D57543" w:rsidRPr="00A32F27" w:rsidRDefault="00D57543" w:rsidP="008C3900">
      <w:pPr>
        <w:spacing w:after="120" w:line="240" w:lineRule="auto"/>
        <w:rPr>
          <w:rFonts w:ascii="Calibri Light" w:hAnsi="Calibri Light" w:cs="Calibri Light"/>
          <w:sz w:val="18"/>
          <w:szCs w:val="18"/>
        </w:rPr>
      </w:pPr>
      <w:r w:rsidRPr="00A32F27">
        <w:rPr>
          <w:rFonts w:ascii="Calibri Light" w:hAnsi="Calibri Light" w:cs="Calibri Light"/>
          <w:b/>
          <w:bCs/>
          <w:sz w:val="18"/>
          <w:szCs w:val="18"/>
        </w:rPr>
        <w:t xml:space="preserve">Australian Strategic and Technical Advisory Group on AMR (ASTAG): </w:t>
      </w:r>
      <w:r w:rsidR="00C16369" w:rsidRPr="00A32F27">
        <w:rPr>
          <w:rFonts w:ascii="Calibri Light" w:hAnsi="Calibri Light" w:cs="Calibri Light"/>
          <w:sz w:val="18"/>
          <w:szCs w:val="18"/>
        </w:rPr>
        <w:t>ASTAG develops and provides expert advice on AMR-related issues; it includes representatives from human health, animal health, food, agriculture and the environment.</w:t>
      </w:r>
    </w:p>
    <w:p w14:paraId="699E9177" w14:textId="77777777" w:rsidR="00B72280" w:rsidRPr="00A32F27" w:rsidRDefault="00D57543" w:rsidP="008C3900">
      <w:pPr>
        <w:spacing w:after="120" w:line="240" w:lineRule="auto"/>
        <w:rPr>
          <w:rFonts w:ascii="Calibri Light" w:hAnsi="Calibri Light" w:cs="Calibri Light"/>
          <w:sz w:val="18"/>
          <w:szCs w:val="18"/>
        </w:rPr>
      </w:pPr>
      <w:r w:rsidRPr="00A32F27">
        <w:rPr>
          <w:rFonts w:ascii="Calibri Light" w:hAnsi="Calibri Light" w:cs="Calibri Light"/>
          <w:b/>
          <w:bCs/>
          <w:sz w:val="18"/>
          <w:szCs w:val="18"/>
        </w:rPr>
        <w:t>AURA Surveillance System:</w:t>
      </w:r>
      <w:r w:rsidR="004527E1" w:rsidRPr="00A32F27">
        <w:rPr>
          <w:rFonts w:ascii="Calibri Light" w:hAnsi="Calibri Light" w:cs="Calibri Light"/>
          <w:b/>
          <w:bCs/>
          <w:sz w:val="18"/>
          <w:szCs w:val="18"/>
        </w:rPr>
        <w:t xml:space="preserve"> </w:t>
      </w:r>
      <w:r w:rsidR="004527E1" w:rsidRPr="00A32F27">
        <w:rPr>
          <w:rFonts w:ascii="Calibri Light" w:hAnsi="Calibri Light" w:cs="Calibri Light"/>
          <w:sz w:val="18"/>
          <w:szCs w:val="18"/>
        </w:rPr>
        <w:t>The</w:t>
      </w:r>
      <w:r w:rsidR="004527E1" w:rsidRPr="00A32F27">
        <w:rPr>
          <w:rFonts w:ascii="Calibri Light" w:hAnsi="Calibri Light" w:cs="Calibri Light"/>
          <w:b/>
          <w:bCs/>
          <w:sz w:val="18"/>
          <w:szCs w:val="18"/>
        </w:rPr>
        <w:t xml:space="preserve"> </w:t>
      </w:r>
      <w:r w:rsidR="004527E1" w:rsidRPr="00A32F27">
        <w:rPr>
          <w:rFonts w:ascii="Calibri Light" w:hAnsi="Calibri Light" w:cs="Calibri Light"/>
          <w:sz w:val="18"/>
          <w:szCs w:val="18"/>
        </w:rPr>
        <w:t xml:space="preserve">Antimicrobial Use and Resistance in Australia Surveillance System </w:t>
      </w:r>
      <w:r w:rsidR="00750493">
        <w:rPr>
          <w:rFonts w:ascii="Calibri Light" w:hAnsi="Calibri Light" w:cs="Calibri Light"/>
          <w:sz w:val="18"/>
          <w:szCs w:val="18"/>
        </w:rPr>
        <w:t xml:space="preserve">coordinates data from </w:t>
      </w:r>
      <w:r w:rsidR="00B72280" w:rsidRPr="00A32F27">
        <w:rPr>
          <w:rFonts w:ascii="Calibri Light" w:hAnsi="Calibri Light" w:cs="Calibri Light"/>
          <w:sz w:val="18"/>
          <w:szCs w:val="18"/>
        </w:rPr>
        <w:t>many sources to provide a comprehensive and integrated picture of patterns and trends of antimicrobial resistance and antimicrobial use in human health across Australia.</w:t>
      </w:r>
    </w:p>
    <w:p w14:paraId="033F7865" w14:textId="6F0B02A5" w:rsidR="00637C31" w:rsidRPr="00A32F27" w:rsidRDefault="00544B9A" w:rsidP="008C3900">
      <w:pPr>
        <w:spacing w:after="120" w:line="240" w:lineRule="auto"/>
        <w:rPr>
          <w:rFonts w:ascii="Calibri Light" w:hAnsi="Calibri Light" w:cs="Calibri Light"/>
          <w:b/>
          <w:bCs/>
          <w:sz w:val="18"/>
          <w:szCs w:val="18"/>
        </w:rPr>
      </w:pPr>
      <w:r>
        <w:rPr>
          <w:rFonts w:ascii="Calibri Light" w:hAnsi="Calibri Light" w:cs="Calibri Light"/>
          <w:b/>
          <w:bCs/>
          <w:sz w:val="18"/>
          <w:szCs w:val="18"/>
        </w:rPr>
        <w:t>Biosecurity:</w:t>
      </w:r>
      <w:r w:rsidR="00ED7F0E" w:rsidRPr="00ED7F0E">
        <w:t xml:space="preserve"> </w:t>
      </w:r>
      <w:r w:rsidR="00637C31" w:rsidRPr="00A32F27">
        <w:rPr>
          <w:rFonts w:ascii="Calibri Light" w:hAnsi="Calibri Light" w:cs="Calibri Light"/>
          <w:sz w:val="18"/>
          <w:szCs w:val="18"/>
        </w:rPr>
        <w:t>Efforts to prevent, respond to and recover from pests and diseases that threaten the economy and environment.</w:t>
      </w:r>
    </w:p>
    <w:p w14:paraId="34FA7F54" w14:textId="77777777" w:rsidR="00570926" w:rsidRPr="00A32F27" w:rsidRDefault="00D025BD" w:rsidP="008C3900">
      <w:pPr>
        <w:spacing w:after="120" w:line="240" w:lineRule="auto"/>
        <w:rPr>
          <w:rFonts w:ascii="Calibri Light" w:hAnsi="Calibri Light" w:cs="Calibri Light"/>
          <w:sz w:val="18"/>
          <w:szCs w:val="18"/>
        </w:rPr>
      </w:pPr>
      <w:r w:rsidRPr="00A32F27">
        <w:rPr>
          <w:rFonts w:ascii="Calibri Light" w:hAnsi="Calibri Light" w:cs="Calibri Light"/>
          <w:b/>
          <w:bCs/>
          <w:sz w:val="18"/>
          <w:szCs w:val="18"/>
        </w:rPr>
        <w:t>Food and Agriculture Organization</w:t>
      </w:r>
      <w:r w:rsidR="006800CF">
        <w:rPr>
          <w:rFonts w:ascii="Calibri Light" w:hAnsi="Calibri Light" w:cs="Calibri Light"/>
          <w:b/>
          <w:bCs/>
          <w:sz w:val="18"/>
          <w:szCs w:val="18"/>
        </w:rPr>
        <w:t xml:space="preserve"> of the United Nations</w:t>
      </w:r>
      <w:r w:rsidRPr="00A32F27">
        <w:rPr>
          <w:rFonts w:ascii="Calibri Light" w:hAnsi="Calibri Light" w:cs="Calibri Light"/>
          <w:b/>
          <w:bCs/>
          <w:sz w:val="18"/>
          <w:szCs w:val="18"/>
        </w:rPr>
        <w:t xml:space="preserve"> </w:t>
      </w:r>
      <w:r w:rsidR="00570926" w:rsidRPr="00A32F27">
        <w:rPr>
          <w:rFonts w:ascii="Calibri Light" w:hAnsi="Calibri Light" w:cs="Calibri Light"/>
          <w:b/>
          <w:bCs/>
          <w:sz w:val="18"/>
          <w:szCs w:val="18"/>
        </w:rPr>
        <w:t>(FAO):</w:t>
      </w:r>
      <w:r w:rsidR="00570926" w:rsidRPr="00A32F27">
        <w:rPr>
          <w:rFonts w:ascii="Calibri Light" w:hAnsi="Calibri Light" w:cs="Calibri Light"/>
          <w:sz w:val="18"/>
          <w:szCs w:val="18"/>
        </w:rPr>
        <w:t xml:space="preserve"> A specialised agency of the United Nations that leads international efforts to defeat hunger, and share knowledge to improve agriculture, forestry and fisheries practices as well as ensuring good nutrition and food security for all. </w:t>
      </w:r>
    </w:p>
    <w:p w14:paraId="08F37BAF" w14:textId="77777777" w:rsidR="00CD2B0D" w:rsidRPr="00F93CC9" w:rsidRDefault="00A82226" w:rsidP="008C3900">
      <w:pPr>
        <w:spacing w:after="120" w:line="240" w:lineRule="auto"/>
        <w:rPr>
          <w:rFonts w:ascii="Calibri Light" w:hAnsi="Calibri Light" w:cs="Calibri Light"/>
          <w:iCs/>
          <w:sz w:val="18"/>
          <w:szCs w:val="18"/>
        </w:rPr>
      </w:pPr>
      <w:r w:rsidRPr="00A32F27">
        <w:rPr>
          <w:rFonts w:ascii="Calibri Light" w:hAnsi="Calibri Light" w:cs="Calibri Light"/>
          <w:b/>
          <w:bCs/>
          <w:sz w:val="18"/>
          <w:szCs w:val="18"/>
        </w:rPr>
        <w:t>General Practitioner Antimicrobial Resistance Expert Group</w:t>
      </w:r>
      <w:r w:rsidR="00427A00">
        <w:rPr>
          <w:rFonts w:ascii="Calibri Light" w:hAnsi="Calibri Light" w:cs="Calibri Light"/>
          <w:b/>
          <w:bCs/>
          <w:sz w:val="18"/>
          <w:szCs w:val="18"/>
        </w:rPr>
        <w:t xml:space="preserve"> </w:t>
      </w:r>
      <w:r w:rsidR="00427A00" w:rsidRPr="00F93CC9">
        <w:rPr>
          <w:rFonts w:ascii="Calibri Light" w:hAnsi="Calibri Light" w:cs="Calibri Light"/>
          <w:bCs/>
          <w:sz w:val="18"/>
          <w:szCs w:val="18"/>
        </w:rPr>
        <w:t>(GP AMR Expert Group)</w:t>
      </w:r>
      <w:r w:rsidRPr="00F93CC9">
        <w:rPr>
          <w:rFonts w:ascii="Calibri Light" w:hAnsi="Calibri Light" w:cs="Calibri Light"/>
          <w:bCs/>
          <w:sz w:val="18"/>
          <w:szCs w:val="18"/>
        </w:rPr>
        <w:t xml:space="preserve">: </w:t>
      </w:r>
      <w:r w:rsidR="00427A00" w:rsidRPr="00F93CC9">
        <w:rPr>
          <w:rFonts w:ascii="Calibri Light" w:hAnsi="Calibri Light" w:cs="Calibri Light"/>
          <w:bCs/>
          <w:sz w:val="18"/>
          <w:szCs w:val="18"/>
        </w:rPr>
        <w:t xml:space="preserve">A sub-group of ASTAG, </w:t>
      </w:r>
      <w:r w:rsidR="00F93CC9">
        <w:rPr>
          <w:rFonts w:ascii="Calibri Light" w:hAnsi="Calibri Light" w:cs="Calibri Light"/>
          <w:bCs/>
          <w:sz w:val="18"/>
          <w:szCs w:val="18"/>
        </w:rPr>
        <w:t xml:space="preserve">whose </w:t>
      </w:r>
      <w:r w:rsidR="00846737" w:rsidRPr="00F93CC9">
        <w:rPr>
          <w:rFonts w:ascii="Calibri Light" w:hAnsi="Calibri Light" w:cs="Calibri Light"/>
          <w:bCs/>
          <w:sz w:val="18"/>
          <w:szCs w:val="18"/>
        </w:rPr>
        <w:t>primary objective is to support work to improve antibiotic stewardship in general practice.</w:t>
      </w:r>
    </w:p>
    <w:p w14:paraId="7FDC9B99" w14:textId="1096B137" w:rsidR="00D57543" w:rsidRPr="00A32F27" w:rsidRDefault="00D57543" w:rsidP="008C3900">
      <w:pPr>
        <w:spacing w:after="120" w:line="240" w:lineRule="auto"/>
        <w:rPr>
          <w:rFonts w:ascii="Calibri Light" w:hAnsi="Calibri Light" w:cs="Calibri Light"/>
          <w:sz w:val="18"/>
          <w:szCs w:val="18"/>
        </w:rPr>
      </w:pPr>
      <w:r w:rsidRPr="00A32F27">
        <w:rPr>
          <w:rFonts w:ascii="Calibri Light" w:hAnsi="Calibri Light" w:cs="Calibri Light"/>
          <w:b/>
          <w:bCs/>
          <w:sz w:val="18"/>
          <w:szCs w:val="18"/>
        </w:rPr>
        <w:t>Global Antimicrobial Resistance Surveillance System (GLASS):</w:t>
      </w:r>
      <w:r w:rsidRPr="00A32F27">
        <w:rPr>
          <w:rFonts w:ascii="Calibri Light" w:hAnsi="Calibri Light" w:cs="Calibri Light"/>
          <w:sz w:val="18"/>
          <w:szCs w:val="18"/>
        </w:rPr>
        <w:t xml:space="preserve"> </w:t>
      </w:r>
      <w:r w:rsidR="001D13B8" w:rsidRPr="001D13B8">
        <w:rPr>
          <w:rFonts w:ascii="Calibri Light" w:hAnsi="Calibri Light" w:cs="Calibri Light"/>
          <w:sz w:val="18"/>
          <w:szCs w:val="18"/>
        </w:rPr>
        <w:t xml:space="preserve">Launched in 2015 by the </w:t>
      </w:r>
      <w:r w:rsidR="001D13B8">
        <w:rPr>
          <w:rFonts w:ascii="Calibri Light" w:hAnsi="Calibri Light" w:cs="Calibri Light"/>
          <w:sz w:val="18"/>
          <w:szCs w:val="18"/>
        </w:rPr>
        <w:t>World</w:t>
      </w:r>
      <w:r w:rsidR="001D13B8" w:rsidRPr="001D13B8">
        <w:rPr>
          <w:rFonts w:ascii="Calibri Light" w:hAnsi="Calibri Light" w:cs="Calibri Light"/>
          <w:sz w:val="18"/>
          <w:szCs w:val="18"/>
        </w:rPr>
        <w:t xml:space="preserve"> Health </w:t>
      </w:r>
      <w:r w:rsidR="001D13B8" w:rsidRPr="001D13B8">
        <w:rPr>
          <w:rFonts w:ascii="Calibri Light" w:hAnsi="Calibri Light" w:cs="Calibri Light"/>
          <w:sz w:val="18"/>
          <w:szCs w:val="18"/>
        </w:rPr>
        <w:t>Organization, GLASS support</w:t>
      </w:r>
      <w:r w:rsidR="001D13B8">
        <w:rPr>
          <w:rFonts w:ascii="Calibri Light" w:hAnsi="Calibri Light" w:cs="Calibri Light"/>
          <w:sz w:val="18"/>
          <w:szCs w:val="18"/>
        </w:rPr>
        <w:t>s</w:t>
      </w:r>
      <w:r w:rsidR="001D13B8" w:rsidRPr="001D13B8">
        <w:rPr>
          <w:rFonts w:ascii="Calibri Light" w:hAnsi="Calibri Light" w:cs="Calibri Light"/>
          <w:sz w:val="18"/>
          <w:szCs w:val="18"/>
        </w:rPr>
        <w:t xml:space="preserve"> global surveillance and research to strengthen the evidence base on antimicrobial resistance and help inform </w:t>
      </w:r>
      <w:r w:rsidR="001D13B8">
        <w:rPr>
          <w:rFonts w:ascii="Calibri Light" w:hAnsi="Calibri Light" w:cs="Calibri Light"/>
          <w:sz w:val="18"/>
          <w:szCs w:val="18"/>
        </w:rPr>
        <w:t xml:space="preserve">national and international </w:t>
      </w:r>
      <w:r w:rsidR="001D13B8" w:rsidRPr="001D13B8">
        <w:rPr>
          <w:rFonts w:ascii="Calibri Light" w:hAnsi="Calibri Light" w:cs="Calibri Light"/>
          <w:sz w:val="18"/>
          <w:szCs w:val="18"/>
        </w:rPr>
        <w:t>decision-making.</w:t>
      </w:r>
    </w:p>
    <w:p w14:paraId="4D4A312C" w14:textId="77777777" w:rsidR="00D025BD" w:rsidRPr="00A32F27" w:rsidRDefault="00D025BD" w:rsidP="008C3900">
      <w:pPr>
        <w:spacing w:after="120" w:line="240" w:lineRule="auto"/>
        <w:rPr>
          <w:rFonts w:ascii="Calibri Light" w:hAnsi="Calibri Light" w:cs="Calibri Light"/>
          <w:sz w:val="18"/>
          <w:szCs w:val="18"/>
        </w:rPr>
      </w:pPr>
      <w:r w:rsidRPr="00A32F27">
        <w:rPr>
          <w:rFonts w:ascii="Calibri Light" w:hAnsi="Calibri Light" w:cs="Calibri Light"/>
          <w:b/>
          <w:bCs/>
          <w:sz w:val="18"/>
          <w:szCs w:val="18"/>
        </w:rPr>
        <w:t>G20:</w:t>
      </w:r>
      <w:r w:rsidRPr="00A32F27">
        <w:rPr>
          <w:rFonts w:ascii="Calibri Light" w:hAnsi="Calibri Light" w:cs="Calibri Light"/>
          <w:sz w:val="18"/>
          <w:szCs w:val="18"/>
        </w:rPr>
        <w:t xml:space="preserve"> The Group of 20</w:t>
      </w:r>
      <w:r w:rsidR="00F93CC9">
        <w:rPr>
          <w:rFonts w:ascii="Calibri Light" w:hAnsi="Calibri Light" w:cs="Calibri Light"/>
          <w:sz w:val="18"/>
          <w:szCs w:val="18"/>
        </w:rPr>
        <w:t xml:space="preserve"> </w:t>
      </w:r>
      <w:r w:rsidR="000C51C9">
        <w:rPr>
          <w:rFonts w:ascii="Calibri Light" w:hAnsi="Calibri Light" w:cs="Calibri Light"/>
          <w:sz w:val="18"/>
          <w:szCs w:val="18"/>
        </w:rPr>
        <w:t>consists o</w:t>
      </w:r>
      <w:r w:rsidR="0070633E" w:rsidRPr="0070633E">
        <w:rPr>
          <w:rFonts w:ascii="Calibri Light" w:hAnsi="Calibri Light" w:cs="Calibri Light"/>
          <w:sz w:val="18"/>
          <w:szCs w:val="18"/>
        </w:rPr>
        <w:t>f the world</w:t>
      </w:r>
      <w:r w:rsidR="000D6475">
        <w:rPr>
          <w:rFonts w:ascii="Calibri Light" w:hAnsi="Calibri Light" w:cs="Calibri Light"/>
          <w:sz w:val="18"/>
          <w:szCs w:val="18"/>
        </w:rPr>
        <w:t>’</w:t>
      </w:r>
      <w:r w:rsidR="0070633E" w:rsidRPr="0070633E">
        <w:rPr>
          <w:rFonts w:ascii="Calibri Light" w:hAnsi="Calibri Light" w:cs="Calibri Light"/>
          <w:sz w:val="18"/>
          <w:szCs w:val="18"/>
        </w:rPr>
        <w:t>s largest economies</w:t>
      </w:r>
      <w:r w:rsidR="0070633E">
        <w:rPr>
          <w:rFonts w:ascii="Calibri Light" w:hAnsi="Calibri Light" w:cs="Calibri Light"/>
          <w:sz w:val="18"/>
          <w:szCs w:val="18"/>
        </w:rPr>
        <w:t xml:space="preserve">. They are </w:t>
      </w:r>
      <w:r w:rsidRPr="00A32F27">
        <w:rPr>
          <w:rFonts w:ascii="Calibri Light" w:hAnsi="Calibri Light" w:cs="Calibri Light"/>
          <w:sz w:val="18"/>
          <w:szCs w:val="18"/>
        </w:rPr>
        <w:t xml:space="preserve">Argentina, Australia, Brazil, Canada, China, France, Germany, India, Indonesia, Italy, Japan, South Korea, Mexico, Russia, Saudi Arabia, South Africa, Turkey, </w:t>
      </w:r>
      <w:r w:rsidR="000C51C9">
        <w:rPr>
          <w:rFonts w:ascii="Calibri Light" w:hAnsi="Calibri Light" w:cs="Calibri Light"/>
          <w:sz w:val="18"/>
          <w:szCs w:val="18"/>
        </w:rPr>
        <w:t xml:space="preserve">the </w:t>
      </w:r>
      <w:r w:rsidRPr="00A32F27">
        <w:rPr>
          <w:rFonts w:ascii="Calibri Light" w:hAnsi="Calibri Light" w:cs="Calibri Light"/>
          <w:sz w:val="18"/>
          <w:szCs w:val="18"/>
        </w:rPr>
        <w:t xml:space="preserve">United Kingdom and </w:t>
      </w:r>
      <w:r w:rsidR="000C51C9">
        <w:rPr>
          <w:rFonts w:ascii="Calibri Light" w:hAnsi="Calibri Light" w:cs="Calibri Light"/>
          <w:sz w:val="18"/>
          <w:szCs w:val="18"/>
        </w:rPr>
        <w:t xml:space="preserve">the </w:t>
      </w:r>
      <w:r w:rsidRPr="00A32F27">
        <w:rPr>
          <w:rFonts w:ascii="Calibri Light" w:hAnsi="Calibri Light" w:cs="Calibri Light"/>
          <w:sz w:val="18"/>
          <w:szCs w:val="18"/>
        </w:rPr>
        <w:t>United States</w:t>
      </w:r>
      <w:r w:rsidR="00231A68">
        <w:rPr>
          <w:rFonts w:ascii="Calibri Light" w:hAnsi="Calibri Light" w:cs="Calibri Light"/>
          <w:sz w:val="18"/>
          <w:szCs w:val="18"/>
        </w:rPr>
        <w:t xml:space="preserve"> of America</w:t>
      </w:r>
      <w:r w:rsidRPr="00A32F27">
        <w:rPr>
          <w:rFonts w:ascii="Calibri Light" w:hAnsi="Calibri Light" w:cs="Calibri Light"/>
          <w:sz w:val="18"/>
          <w:szCs w:val="18"/>
        </w:rPr>
        <w:t>, plus the European Union.</w:t>
      </w:r>
    </w:p>
    <w:p w14:paraId="324D30BD" w14:textId="77777777" w:rsidR="00A82226" w:rsidRPr="00A32F27" w:rsidRDefault="00A82226" w:rsidP="008C3900">
      <w:pPr>
        <w:spacing w:after="120" w:line="240" w:lineRule="auto"/>
        <w:rPr>
          <w:rFonts w:ascii="Calibri Light" w:hAnsi="Calibri Light" w:cs="Calibri Light"/>
          <w:b/>
          <w:bCs/>
          <w:sz w:val="18"/>
          <w:szCs w:val="18"/>
        </w:rPr>
      </w:pPr>
      <w:r w:rsidRPr="00A32F27">
        <w:rPr>
          <w:rFonts w:ascii="Calibri Light" w:hAnsi="Calibri Light" w:cs="Calibri Light"/>
          <w:b/>
          <w:bCs/>
          <w:sz w:val="18"/>
          <w:szCs w:val="18"/>
        </w:rPr>
        <w:t xml:space="preserve">National Safety and Quality Health Service Standards: </w:t>
      </w:r>
      <w:r w:rsidR="000270BF">
        <w:rPr>
          <w:rFonts w:ascii="Calibri Light" w:hAnsi="Calibri Light" w:cs="Calibri Light"/>
          <w:sz w:val="18"/>
          <w:szCs w:val="18"/>
        </w:rPr>
        <w:t>A</w:t>
      </w:r>
      <w:r w:rsidR="000270BF" w:rsidRPr="000270BF">
        <w:rPr>
          <w:rFonts w:ascii="Calibri Light" w:hAnsi="Calibri Light" w:cs="Calibri Light"/>
          <w:sz w:val="18"/>
          <w:szCs w:val="18"/>
        </w:rPr>
        <w:t xml:space="preserve"> nationally consistent </w:t>
      </w:r>
      <w:r w:rsidR="00242917">
        <w:rPr>
          <w:rFonts w:ascii="Calibri Light" w:hAnsi="Calibri Light" w:cs="Calibri Light"/>
          <w:sz w:val="18"/>
          <w:szCs w:val="18"/>
        </w:rPr>
        <w:t>standard</w:t>
      </w:r>
      <w:r w:rsidR="000270BF" w:rsidRPr="000270BF">
        <w:rPr>
          <w:rFonts w:ascii="Calibri Light" w:hAnsi="Calibri Light" w:cs="Calibri Light"/>
          <w:sz w:val="18"/>
          <w:szCs w:val="18"/>
        </w:rPr>
        <w:t xml:space="preserve"> of the level of care </w:t>
      </w:r>
      <w:r w:rsidR="00242917">
        <w:rPr>
          <w:rFonts w:ascii="Calibri Light" w:hAnsi="Calibri Light" w:cs="Calibri Light"/>
          <w:sz w:val="18"/>
          <w:szCs w:val="18"/>
        </w:rPr>
        <w:t>Australians</w:t>
      </w:r>
      <w:r w:rsidR="000270BF" w:rsidRPr="000270BF">
        <w:rPr>
          <w:rFonts w:ascii="Calibri Light" w:hAnsi="Calibri Light" w:cs="Calibri Light"/>
          <w:sz w:val="18"/>
          <w:szCs w:val="18"/>
        </w:rPr>
        <w:t xml:space="preserve"> can expect from health service organisations.</w:t>
      </w:r>
    </w:p>
    <w:p w14:paraId="56538EA3" w14:textId="77777777" w:rsidR="00F47AE7" w:rsidRPr="00242917" w:rsidRDefault="00F47AE7" w:rsidP="008C3900">
      <w:pPr>
        <w:spacing w:after="120" w:line="240" w:lineRule="auto"/>
        <w:rPr>
          <w:rFonts w:ascii="Calibri Light" w:hAnsi="Calibri Light" w:cs="Calibri Light"/>
          <w:sz w:val="18"/>
          <w:szCs w:val="18"/>
        </w:rPr>
      </w:pPr>
      <w:r w:rsidRPr="00A32F27">
        <w:rPr>
          <w:rFonts w:ascii="Calibri Light" w:hAnsi="Calibri Light" w:cs="Calibri Light"/>
          <w:b/>
          <w:bCs/>
          <w:sz w:val="18"/>
          <w:szCs w:val="18"/>
        </w:rPr>
        <w:t xml:space="preserve">One Health: </w:t>
      </w:r>
      <w:r w:rsidR="00242917" w:rsidRPr="00242917">
        <w:rPr>
          <w:rFonts w:ascii="Calibri Light" w:hAnsi="Calibri Light" w:cs="Calibri Light"/>
          <w:sz w:val="18"/>
          <w:szCs w:val="18"/>
        </w:rPr>
        <w:t xml:space="preserve">The </w:t>
      </w:r>
      <w:r w:rsidR="00C21C15">
        <w:rPr>
          <w:rFonts w:ascii="Calibri Light" w:hAnsi="Calibri Light" w:cs="Calibri Light"/>
          <w:sz w:val="18"/>
          <w:szCs w:val="18"/>
        </w:rPr>
        <w:t xml:space="preserve">principle of applying a </w:t>
      </w:r>
      <w:r w:rsidR="00242917" w:rsidRPr="00242917">
        <w:rPr>
          <w:rFonts w:ascii="Calibri Light" w:hAnsi="Calibri Light" w:cs="Calibri Light"/>
          <w:sz w:val="18"/>
          <w:szCs w:val="18"/>
        </w:rPr>
        <w:t xml:space="preserve">collaborative </w:t>
      </w:r>
      <w:r w:rsidR="00BC30DE">
        <w:rPr>
          <w:rFonts w:ascii="Calibri Light" w:hAnsi="Calibri Light" w:cs="Calibri Light"/>
          <w:sz w:val="18"/>
          <w:szCs w:val="18"/>
        </w:rPr>
        <w:t xml:space="preserve">and coordinated </w:t>
      </w:r>
      <w:r w:rsidR="00242917" w:rsidRPr="00242917">
        <w:rPr>
          <w:rFonts w:ascii="Calibri Light" w:hAnsi="Calibri Light" w:cs="Calibri Light"/>
          <w:sz w:val="18"/>
          <w:szCs w:val="18"/>
        </w:rPr>
        <w:t xml:space="preserve">effort </w:t>
      </w:r>
      <w:r w:rsidR="00C21C15">
        <w:rPr>
          <w:rFonts w:ascii="Calibri Light" w:hAnsi="Calibri Light" w:cs="Calibri Light"/>
          <w:sz w:val="18"/>
          <w:szCs w:val="18"/>
        </w:rPr>
        <w:t>across</w:t>
      </w:r>
      <w:r w:rsidR="00242917" w:rsidRPr="00242917">
        <w:rPr>
          <w:rFonts w:ascii="Calibri Light" w:hAnsi="Calibri Light" w:cs="Calibri Light"/>
          <w:sz w:val="18"/>
          <w:szCs w:val="18"/>
        </w:rPr>
        <w:t xml:space="preserve"> multiple </w:t>
      </w:r>
      <w:r w:rsidR="00BC30DE">
        <w:rPr>
          <w:rFonts w:ascii="Calibri Light" w:hAnsi="Calibri Light" w:cs="Calibri Light"/>
          <w:sz w:val="18"/>
          <w:szCs w:val="18"/>
        </w:rPr>
        <w:t>sectors</w:t>
      </w:r>
      <w:r w:rsidR="00242917" w:rsidRPr="00242917">
        <w:rPr>
          <w:rFonts w:ascii="Calibri Light" w:hAnsi="Calibri Light" w:cs="Calibri Light"/>
          <w:sz w:val="18"/>
          <w:szCs w:val="18"/>
        </w:rPr>
        <w:t xml:space="preserve"> – working locally, nationally and globally – to attain optimal health for people, animals and the environment.</w:t>
      </w:r>
    </w:p>
    <w:p w14:paraId="5E93E418" w14:textId="77777777" w:rsidR="00116341" w:rsidRPr="00A32F27" w:rsidRDefault="006F261F" w:rsidP="008C3900">
      <w:pPr>
        <w:spacing w:after="120" w:line="240" w:lineRule="auto"/>
        <w:rPr>
          <w:rFonts w:ascii="Calibri Light" w:hAnsi="Calibri Light" w:cs="Calibri Light"/>
          <w:b/>
          <w:bCs/>
          <w:sz w:val="18"/>
          <w:szCs w:val="18"/>
        </w:rPr>
      </w:pPr>
      <w:r w:rsidRPr="00A32F27">
        <w:rPr>
          <w:rFonts w:ascii="Calibri Light" w:hAnsi="Calibri Light" w:cs="Calibri Light"/>
          <w:b/>
          <w:bCs/>
          <w:sz w:val="18"/>
          <w:szCs w:val="18"/>
        </w:rPr>
        <w:t>P</w:t>
      </w:r>
      <w:r w:rsidR="00116341" w:rsidRPr="00A32F27">
        <w:rPr>
          <w:rFonts w:ascii="Calibri Light" w:hAnsi="Calibri Light" w:cs="Calibri Light"/>
          <w:b/>
          <w:bCs/>
          <w:sz w:val="18"/>
          <w:szCs w:val="18"/>
        </w:rPr>
        <w:t xml:space="preserve">athogenomics: </w:t>
      </w:r>
      <w:r w:rsidR="001A1B73" w:rsidRPr="001A1B73">
        <w:rPr>
          <w:rFonts w:ascii="Calibri Light" w:hAnsi="Calibri Light" w:cs="Calibri Light"/>
          <w:sz w:val="18"/>
          <w:szCs w:val="18"/>
        </w:rPr>
        <w:t xml:space="preserve">A branch of research that </w:t>
      </w:r>
      <w:r w:rsidR="001A1B73">
        <w:rPr>
          <w:rFonts w:ascii="Calibri Light" w:hAnsi="Calibri Light" w:cs="Calibri Light"/>
          <w:sz w:val="18"/>
          <w:szCs w:val="18"/>
        </w:rPr>
        <w:t>uses</w:t>
      </w:r>
      <w:r w:rsidR="001A1B73" w:rsidRPr="001A1B73">
        <w:rPr>
          <w:rFonts w:ascii="Calibri Light" w:hAnsi="Calibri Light" w:cs="Calibri Light"/>
          <w:sz w:val="18"/>
          <w:szCs w:val="18"/>
        </w:rPr>
        <w:t xml:space="preserve"> data from gene sequencing to understand microbe diversity and interaction as well as host-microbe interactions in disease states</w:t>
      </w:r>
      <w:r w:rsidR="009C36CF">
        <w:rPr>
          <w:rFonts w:ascii="Calibri Light" w:hAnsi="Calibri Light" w:cs="Calibri Light"/>
          <w:sz w:val="18"/>
          <w:szCs w:val="18"/>
        </w:rPr>
        <w:t>.</w:t>
      </w:r>
    </w:p>
    <w:p w14:paraId="6AA26799" w14:textId="77777777" w:rsidR="00116341" w:rsidRPr="00763E29" w:rsidRDefault="00116341" w:rsidP="008C3900">
      <w:pPr>
        <w:spacing w:after="120" w:line="240" w:lineRule="auto"/>
        <w:rPr>
          <w:rFonts w:ascii="Calibri Light" w:hAnsi="Calibri Light" w:cs="Calibri Light"/>
          <w:sz w:val="18"/>
          <w:szCs w:val="18"/>
        </w:rPr>
      </w:pPr>
      <w:r w:rsidRPr="00A32F27">
        <w:rPr>
          <w:rFonts w:ascii="Calibri Light" w:hAnsi="Calibri Light" w:cs="Calibri Light"/>
          <w:b/>
          <w:bCs/>
          <w:sz w:val="18"/>
          <w:szCs w:val="18"/>
        </w:rPr>
        <w:t xml:space="preserve">Product Development Partnerships (PDPs): </w:t>
      </w:r>
      <w:r w:rsidR="00763E29" w:rsidRPr="00763E29">
        <w:rPr>
          <w:rFonts w:ascii="Calibri Light" w:hAnsi="Calibri Light" w:cs="Calibri Light"/>
          <w:sz w:val="18"/>
          <w:szCs w:val="18"/>
        </w:rPr>
        <w:t>PDPs bring together funding agencies, private industry and scientists to develop new drugs, diagnostics and other disease prevention and control technologies, often for use in poor</w:t>
      </w:r>
      <w:r w:rsidR="00DC32E1">
        <w:rPr>
          <w:rFonts w:ascii="Calibri Light" w:hAnsi="Calibri Light" w:cs="Calibri Light"/>
          <w:sz w:val="18"/>
          <w:szCs w:val="18"/>
        </w:rPr>
        <w:t xml:space="preserve"> </w:t>
      </w:r>
      <w:r w:rsidR="00763E29" w:rsidRPr="00763E29">
        <w:rPr>
          <w:rFonts w:ascii="Calibri Light" w:hAnsi="Calibri Light" w:cs="Calibri Light"/>
          <w:sz w:val="18"/>
          <w:szCs w:val="18"/>
        </w:rPr>
        <w:t>nations where market incentives alone will not drive product development.</w:t>
      </w:r>
    </w:p>
    <w:p w14:paraId="736D5496" w14:textId="77777777" w:rsidR="00116341" w:rsidRPr="00A32F27" w:rsidRDefault="00116341" w:rsidP="008C3900">
      <w:pPr>
        <w:spacing w:after="120" w:line="240" w:lineRule="auto"/>
        <w:rPr>
          <w:rFonts w:ascii="Calibri Light" w:hAnsi="Calibri Light" w:cs="Calibri Light"/>
          <w:b/>
          <w:bCs/>
          <w:sz w:val="18"/>
          <w:szCs w:val="18"/>
        </w:rPr>
      </w:pPr>
      <w:r w:rsidRPr="00A32F27">
        <w:rPr>
          <w:rFonts w:ascii="Calibri Light" w:hAnsi="Calibri Light" w:cs="Calibri Light"/>
          <w:b/>
          <w:bCs/>
          <w:sz w:val="18"/>
          <w:szCs w:val="18"/>
        </w:rPr>
        <w:t>Public-Private Partnerships (PPPs):</w:t>
      </w:r>
      <w:r w:rsidR="00C32896">
        <w:rPr>
          <w:rFonts w:ascii="Calibri Light" w:hAnsi="Calibri Light" w:cs="Calibri Light"/>
          <w:b/>
          <w:bCs/>
          <w:sz w:val="18"/>
          <w:szCs w:val="18"/>
        </w:rPr>
        <w:t xml:space="preserve"> </w:t>
      </w:r>
      <w:r w:rsidR="00C32896" w:rsidRPr="00C32896">
        <w:rPr>
          <w:rFonts w:ascii="Calibri Light" w:hAnsi="Calibri Light" w:cs="Calibri Light"/>
          <w:sz w:val="18"/>
          <w:szCs w:val="18"/>
        </w:rPr>
        <w:t>A cooperative arrangement between two or</w:t>
      </w:r>
      <w:r w:rsidR="00DE5570">
        <w:rPr>
          <w:rFonts w:ascii="Calibri Light" w:hAnsi="Calibri Light" w:cs="Calibri Light"/>
          <w:sz w:val="18"/>
          <w:szCs w:val="18"/>
        </w:rPr>
        <w:t xml:space="preserve"> more public and private sector</w:t>
      </w:r>
      <w:r w:rsidR="00CE53B2">
        <w:rPr>
          <w:rFonts w:ascii="Calibri Light" w:hAnsi="Calibri Light" w:cs="Calibri Light"/>
          <w:sz w:val="18"/>
          <w:szCs w:val="18"/>
        </w:rPr>
        <w:t xml:space="preserve"> players</w:t>
      </w:r>
      <w:r w:rsidR="00C32896" w:rsidRPr="00C32896">
        <w:rPr>
          <w:rFonts w:ascii="Calibri Light" w:hAnsi="Calibri Light" w:cs="Calibri Light"/>
          <w:sz w:val="18"/>
          <w:szCs w:val="18"/>
        </w:rPr>
        <w:t>, typically of a long-term nature.</w:t>
      </w:r>
    </w:p>
    <w:p w14:paraId="4452EFEF" w14:textId="2B22537A" w:rsidR="00BC30DE" w:rsidRDefault="00BC30DE" w:rsidP="008C3900">
      <w:pPr>
        <w:spacing w:after="120" w:line="240" w:lineRule="auto"/>
        <w:rPr>
          <w:rFonts w:ascii="Calibri Light" w:hAnsi="Calibri Light" w:cs="Calibri Light"/>
          <w:bCs/>
          <w:sz w:val="18"/>
          <w:szCs w:val="18"/>
        </w:rPr>
      </w:pPr>
      <w:r>
        <w:rPr>
          <w:rFonts w:ascii="Calibri Light" w:hAnsi="Calibri Light" w:cs="Calibri Light"/>
          <w:b/>
          <w:bCs/>
          <w:sz w:val="18"/>
          <w:szCs w:val="18"/>
        </w:rPr>
        <w:t xml:space="preserve">Sector: </w:t>
      </w:r>
      <w:r w:rsidR="007C0DC3" w:rsidRPr="002C6425">
        <w:rPr>
          <w:rFonts w:ascii="Calibri Light" w:hAnsi="Calibri Light" w:cs="Calibri Light"/>
          <w:sz w:val="18"/>
          <w:szCs w:val="18"/>
        </w:rPr>
        <w:t xml:space="preserve">In this report, </w:t>
      </w:r>
      <w:r w:rsidR="007C0DC3">
        <w:rPr>
          <w:rFonts w:ascii="Calibri Light" w:hAnsi="Calibri Light" w:cs="Calibri Light"/>
          <w:sz w:val="18"/>
          <w:szCs w:val="18"/>
        </w:rPr>
        <w:t>‘</w:t>
      </w:r>
      <w:r w:rsidR="007C0DC3" w:rsidRPr="002C6425">
        <w:rPr>
          <w:rFonts w:ascii="Calibri Light" w:hAnsi="Calibri Light" w:cs="Calibri Light"/>
          <w:sz w:val="18"/>
          <w:szCs w:val="18"/>
        </w:rPr>
        <w:t>sector</w:t>
      </w:r>
      <w:r w:rsidR="007C0DC3">
        <w:rPr>
          <w:rFonts w:ascii="Calibri Light" w:hAnsi="Calibri Light" w:cs="Calibri Light"/>
          <w:bCs/>
          <w:sz w:val="18"/>
          <w:szCs w:val="18"/>
        </w:rPr>
        <w:t xml:space="preserve">’ </w:t>
      </w:r>
      <w:r w:rsidR="002C6425">
        <w:rPr>
          <w:rFonts w:ascii="Calibri Light" w:hAnsi="Calibri Light" w:cs="Calibri Light"/>
          <w:bCs/>
          <w:sz w:val="18"/>
          <w:szCs w:val="18"/>
        </w:rPr>
        <w:t xml:space="preserve">refers to the </w:t>
      </w:r>
      <w:r w:rsidR="005175A0">
        <w:rPr>
          <w:rFonts w:ascii="Calibri Light" w:hAnsi="Calibri Light" w:cs="Calibri Light"/>
          <w:bCs/>
          <w:sz w:val="18"/>
          <w:szCs w:val="18"/>
        </w:rPr>
        <w:t xml:space="preserve">human </w:t>
      </w:r>
      <w:r w:rsidR="00363C10">
        <w:rPr>
          <w:rFonts w:ascii="Calibri Light" w:hAnsi="Calibri Light" w:cs="Calibri Light"/>
          <w:bCs/>
          <w:sz w:val="18"/>
          <w:szCs w:val="18"/>
        </w:rPr>
        <w:t>health,</w:t>
      </w:r>
      <w:r w:rsidR="005175A0">
        <w:rPr>
          <w:rFonts w:ascii="Calibri Light" w:hAnsi="Calibri Light" w:cs="Calibri Light"/>
          <w:bCs/>
          <w:sz w:val="18"/>
          <w:szCs w:val="18"/>
        </w:rPr>
        <w:t xml:space="preserve"> </w:t>
      </w:r>
      <w:r>
        <w:rPr>
          <w:rFonts w:ascii="Calibri Light" w:hAnsi="Calibri Light" w:cs="Calibri Light"/>
          <w:bCs/>
          <w:sz w:val="18"/>
          <w:szCs w:val="18"/>
        </w:rPr>
        <w:t xml:space="preserve">animal health, </w:t>
      </w:r>
      <w:r w:rsidR="005175A0">
        <w:rPr>
          <w:rFonts w:ascii="Calibri Light" w:hAnsi="Calibri Light" w:cs="Calibri Light"/>
          <w:bCs/>
          <w:sz w:val="18"/>
          <w:szCs w:val="18"/>
        </w:rPr>
        <w:t xml:space="preserve">agriculture, food and </w:t>
      </w:r>
      <w:r>
        <w:rPr>
          <w:rFonts w:ascii="Calibri Light" w:hAnsi="Calibri Light" w:cs="Calibri Light"/>
          <w:bCs/>
          <w:sz w:val="18"/>
          <w:szCs w:val="18"/>
        </w:rPr>
        <w:t>t</w:t>
      </w:r>
      <w:r w:rsidR="005175A0">
        <w:rPr>
          <w:rFonts w:ascii="Calibri Light" w:hAnsi="Calibri Light" w:cs="Calibri Light"/>
          <w:bCs/>
          <w:sz w:val="18"/>
          <w:szCs w:val="18"/>
        </w:rPr>
        <w:t xml:space="preserve">he environment </w:t>
      </w:r>
      <w:r>
        <w:rPr>
          <w:rFonts w:ascii="Calibri Light" w:hAnsi="Calibri Light" w:cs="Calibri Light"/>
          <w:bCs/>
          <w:sz w:val="18"/>
          <w:szCs w:val="18"/>
        </w:rPr>
        <w:t>sectors</w:t>
      </w:r>
      <w:r w:rsidR="002C6425">
        <w:rPr>
          <w:rFonts w:ascii="Calibri Light" w:hAnsi="Calibri Light" w:cs="Calibri Light"/>
          <w:bCs/>
          <w:sz w:val="18"/>
          <w:szCs w:val="18"/>
        </w:rPr>
        <w:t>, to which a One Health approach will be applied.</w:t>
      </w:r>
    </w:p>
    <w:p w14:paraId="3CCB7DF7" w14:textId="77777777" w:rsidR="00116341" w:rsidRPr="00501940" w:rsidRDefault="00116341" w:rsidP="008C3900">
      <w:pPr>
        <w:spacing w:after="120" w:line="240" w:lineRule="auto"/>
        <w:rPr>
          <w:rFonts w:ascii="Calibri Light" w:hAnsi="Calibri Light" w:cs="Calibri Light"/>
          <w:sz w:val="18"/>
          <w:szCs w:val="18"/>
        </w:rPr>
      </w:pPr>
      <w:r w:rsidRPr="00A32F27">
        <w:rPr>
          <w:rFonts w:ascii="Calibri Light" w:hAnsi="Calibri Light" w:cs="Calibri Light"/>
          <w:b/>
          <w:bCs/>
          <w:sz w:val="18"/>
          <w:szCs w:val="18"/>
        </w:rPr>
        <w:t xml:space="preserve">Tripartite agencies: </w:t>
      </w:r>
      <w:r w:rsidR="00501940" w:rsidRPr="00501940">
        <w:rPr>
          <w:rFonts w:ascii="Calibri Light" w:hAnsi="Calibri Light" w:cs="Calibri Light"/>
          <w:sz w:val="18"/>
          <w:szCs w:val="18"/>
        </w:rPr>
        <w:t>A</w:t>
      </w:r>
      <w:r w:rsidR="006800CF">
        <w:rPr>
          <w:rFonts w:ascii="Calibri Light" w:hAnsi="Calibri Light" w:cs="Calibri Light"/>
          <w:sz w:val="18"/>
          <w:szCs w:val="18"/>
        </w:rPr>
        <w:t xml:space="preserve"> formal</w:t>
      </w:r>
      <w:r w:rsidR="00501940" w:rsidRPr="00501940">
        <w:rPr>
          <w:rFonts w:ascii="Calibri Light" w:hAnsi="Calibri Light" w:cs="Calibri Light"/>
          <w:sz w:val="18"/>
          <w:szCs w:val="18"/>
        </w:rPr>
        <w:t xml:space="preserve"> international partnership to combat health threats associated with interactions between humans, animals and the environment, consisting of the Food and Agriculture Organization, the World Health Organization and the World Organisation for Animal Health.</w:t>
      </w:r>
    </w:p>
    <w:p w14:paraId="65AC33E9" w14:textId="77777777" w:rsidR="00D57543" w:rsidRDefault="00D57543" w:rsidP="008C3900">
      <w:pPr>
        <w:spacing w:after="120" w:line="240" w:lineRule="auto"/>
        <w:rPr>
          <w:rFonts w:ascii="Calibri Light" w:hAnsi="Calibri Light" w:cs="Calibri Light"/>
          <w:sz w:val="18"/>
          <w:szCs w:val="18"/>
        </w:rPr>
      </w:pPr>
      <w:r w:rsidRPr="00FD3BDF">
        <w:rPr>
          <w:rFonts w:ascii="Calibri Light" w:hAnsi="Calibri Light" w:cs="Calibri Light"/>
          <w:b/>
          <w:bCs/>
          <w:sz w:val="18"/>
          <w:szCs w:val="18"/>
        </w:rPr>
        <w:t>World Health Organization</w:t>
      </w:r>
      <w:r w:rsidR="00FD3BDF" w:rsidRPr="00FD3BDF">
        <w:rPr>
          <w:rFonts w:ascii="Calibri Light" w:hAnsi="Calibri Light" w:cs="Calibri Light"/>
          <w:b/>
          <w:bCs/>
          <w:sz w:val="18"/>
          <w:szCs w:val="18"/>
        </w:rPr>
        <w:t xml:space="preserve"> (WHO): </w:t>
      </w:r>
      <w:r w:rsidR="00FD3BDF" w:rsidRPr="00FD3BDF">
        <w:rPr>
          <w:rFonts w:ascii="Calibri Light" w:hAnsi="Calibri Light" w:cs="Calibri Light"/>
          <w:sz w:val="18"/>
          <w:szCs w:val="18"/>
        </w:rPr>
        <w:t>A specialised agency of the United Nations concerned with international public health.</w:t>
      </w:r>
    </w:p>
    <w:p w14:paraId="1A5060EA" w14:textId="77777777" w:rsidR="006800CF" w:rsidRPr="00A32F27" w:rsidRDefault="006800CF" w:rsidP="008C3900">
      <w:pPr>
        <w:spacing w:after="120" w:line="240" w:lineRule="auto"/>
        <w:rPr>
          <w:rFonts w:ascii="Calibri Light" w:hAnsi="Calibri Light" w:cs="Calibri Light"/>
          <w:sz w:val="18"/>
          <w:szCs w:val="18"/>
        </w:rPr>
      </w:pPr>
      <w:r w:rsidRPr="00D206FB">
        <w:rPr>
          <w:rFonts w:ascii="Calibri Light" w:hAnsi="Calibri Light" w:cs="Calibri Light"/>
          <w:b/>
          <w:bCs/>
          <w:sz w:val="18"/>
          <w:szCs w:val="18"/>
        </w:rPr>
        <w:t>World Organisation for Animal Health (OIE):</w:t>
      </w:r>
      <w:r>
        <w:rPr>
          <w:rFonts w:ascii="Calibri Light" w:hAnsi="Calibri Light" w:cs="Calibri Light"/>
          <w:sz w:val="18"/>
          <w:szCs w:val="18"/>
        </w:rPr>
        <w:t xml:space="preserve"> The international standard setting body working to improve animal health and welfare.</w:t>
      </w:r>
    </w:p>
    <w:p w14:paraId="18A2C0BC" w14:textId="77777777" w:rsidR="00D57543" w:rsidRPr="001D2C04" w:rsidRDefault="00116341" w:rsidP="008C3900">
      <w:pPr>
        <w:spacing w:after="120" w:line="240" w:lineRule="auto"/>
        <w:rPr>
          <w:sz w:val="18"/>
          <w:szCs w:val="18"/>
        </w:rPr>
        <w:sectPr w:rsidR="00D57543" w:rsidRPr="001D2C04" w:rsidSect="00D57543">
          <w:type w:val="continuous"/>
          <w:pgSz w:w="11906" w:h="16838"/>
          <w:pgMar w:top="1134" w:right="1440" w:bottom="709" w:left="1440" w:header="708" w:footer="708" w:gutter="0"/>
          <w:cols w:num="2" w:space="708"/>
          <w:docGrid w:linePitch="360"/>
        </w:sectPr>
      </w:pPr>
      <w:r w:rsidRPr="00A32F27">
        <w:rPr>
          <w:rFonts w:ascii="Calibri Light" w:hAnsi="Calibri Light" w:cs="Calibri Light"/>
          <w:b/>
          <w:bCs/>
          <w:sz w:val="18"/>
          <w:szCs w:val="18"/>
        </w:rPr>
        <w:t>UN Environment Programme</w:t>
      </w:r>
      <w:r w:rsidR="007D5902">
        <w:rPr>
          <w:rFonts w:ascii="Calibri Light" w:hAnsi="Calibri Light" w:cs="Calibri Light"/>
          <w:b/>
          <w:bCs/>
          <w:sz w:val="18"/>
          <w:szCs w:val="18"/>
        </w:rPr>
        <w:t xml:space="preserve"> (UNEP)</w:t>
      </w:r>
      <w:r w:rsidRPr="00A32F27">
        <w:rPr>
          <w:rFonts w:ascii="Calibri Light" w:hAnsi="Calibri Light" w:cs="Calibri Light"/>
          <w:b/>
          <w:bCs/>
          <w:sz w:val="18"/>
          <w:szCs w:val="18"/>
        </w:rPr>
        <w:t>:</w:t>
      </w:r>
      <w:r w:rsidR="005E6A00">
        <w:rPr>
          <w:rFonts w:ascii="Calibri Light" w:hAnsi="Calibri Light" w:cs="Calibri Light"/>
          <w:b/>
          <w:bCs/>
          <w:sz w:val="18"/>
          <w:szCs w:val="18"/>
        </w:rPr>
        <w:t xml:space="preserve"> </w:t>
      </w:r>
      <w:r w:rsidR="005E6A00" w:rsidRPr="005E6A00">
        <w:rPr>
          <w:rFonts w:ascii="Calibri Light" w:hAnsi="Calibri Light" w:cs="Calibri Light"/>
          <w:sz w:val="18"/>
          <w:szCs w:val="18"/>
        </w:rPr>
        <w:t xml:space="preserve">A United Nations </w:t>
      </w:r>
      <w:r w:rsidR="00AE6DE4">
        <w:rPr>
          <w:rFonts w:ascii="Calibri Light" w:hAnsi="Calibri Light" w:cs="Calibri Light"/>
          <w:sz w:val="18"/>
          <w:szCs w:val="18"/>
        </w:rPr>
        <w:t>agency</w:t>
      </w:r>
      <w:r w:rsidR="005E6A00" w:rsidRPr="005E6A00">
        <w:rPr>
          <w:rFonts w:ascii="Calibri Light" w:hAnsi="Calibri Light" w:cs="Calibri Light"/>
          <w:sz w:val="18"/>
          <w:szCs w:val="18"/>
        </w:rPr>
        <w:t xml:space="preserve"> </w:t>
      </w:r>
      <w:r w:rsidR="00AE6DE4">
        <w:rPr>
          <w:rFonts w:ascii="Calibri Light" w:hAnsi="Calibri Light" w:cs="Calibri Light"/>
          <w:sz w:val="18"/>
          <w:szCs w:val="18"/>
        </w:rPr>
        <w:t>which</w:t>
      </w:r>
      <w:r w:rsidR="005E6A00" w:rsidRPr="005E6A00">
        <w:rPr>
          <w:rFonts w:ascii="Calibri Light" w:hAnsi="Calibri Light" w:cs="Calibri Light"/>
          <w:sz w:val="18"/>
          <w:szCs w:val="18"/>
        </w:rPr>
        <w:t xml:space="preserve"> coordinates </w:t>
      </w:r>
      <w:r w:rsidR="00AE6DE4">
        <w:rPr>
          <w:rFonts w:ascii="Calibri Light" w:hAnsi="Calibri Light" w:cs="Calibri Light"/>
          <w:sz w:val="18"/>
          <w:szCs w:val="18"/>
        </w:rPr>
        <w:t>global</w:t>
      </w:r>
      <w:r w:rsidR="005E6A00" w:rsidRPr="005E6A00">
        <w:rPr>
          <w:rFonts w:ascii="Calibri Light" w:hAnsi="Calibri Light" w:cs="Calibri Light"/>
          <w:sz w:val="18"/>
          <w:szCs w:val="18"/>
        </w:rPr>
        <w:t xml:space="preserve"> environmental </w:t>
      </w:r>
      <w:r w:rsidR="00AE6DE4">
        <w:rPr>
          <w:rFonts w:ascii="Calibri Light" w:hAnsi="Calibri Light" w:cs="Calibri Light"/>
          <w:sz w:val="18"/>
          <w:szCs w:val="18"/>
        </w:rPr>
        <w:t>initiatives</w:t>
      </w:r>
      <w:r w:rsidR="005E6A00" w:rsidRPr="005E6A00">
        <w:rPr>
          <w:rFonts w:ascii="Calibri Light" w:hAnsi="Calibri Light" w:cs="Calibri Light"/>
          <w:sz w:val="18"/>
          <w:szCs w:val="18"/>
        </w:rPr>
        <w:t xml:space="preserve"> </w:t>
      </w:r>
      <w:r w:rsidR="001D2C04">
        <w:rPr>
          <w:rFonts w:ascii="Calibri Light" w:hAnsi="Calibri Light" w:cs="Calibri Light"/>
          <w:sz w:val="18"/>
          <w:szCs w:val="18"/>
        </w:rPr>
        <w:t xml:space="preserve">on </w:t>
      </w:r>
      <w:r w:rsidR="001D2C04" w:rsidRPr="001D2C04">
        <w:rPr>
          <w:rFonts w:ascii="Calibri Light" w:hAnsi="Calibri Light" w:cs="Calibri Light"/>
          <w:sz w:val="18"/>
          <w:szCs w:val="18"/>
        </w:rPr>
        <w:t xml:space="preserve">the atmosphere, marine and terrestrial ecosystems, environmental governance and </w:t>
      </w:r>
      <w:r w:rsidR="00464289" w:rsidRPr="00464289">
        <w:rPr>
          <w:rFonts w:ascii="Calibri Light" w:hAnsi="Calibri Light" w:cs="Calibri Light"/>
          <w:sz w:val="18"/>
          <w:szCs w:val="18"/>
        </w:rPr>
        <w:t>sustainable development</w:t>
      </w:r>
      <w:r w:rsidR="001D2C04">
        <w:rPr>
          <w:sz w:val="18"/>
          <w:szCs w:val="18"/>
        </w:rPr>
        <w:t>.</w:t>
      </w:r>
    </w:p>
    <w:p w14:paraId="36C8A9F7" w14:textId="77777777" w:rsidR="008C3900" w:rsidRPr="008C3900" w:rsidRDefault="008C3900" w:rsidP="008C3900">
      <w:pPr>
        <w:spacing w:after="0"/>
      </w:pPr>
      <w:r>
        <w:br w:type="page"/>
      </w:r>
    </w:p>
    <w:p w14:paraId="4B2D2F03" w14:textId="5B583D1F" w:rsidR="005373AA" w:rsidRPr="006E255B" w:rsidRDefault="005373AA" w:rsidP="005B3F26">
      <w:pPr>
        <w:pStyle w:val="Heading1"/>
        <w:rPr>
          <w:b/>
        </w:rPr>
      </w:pPr>
      <w:bookmarkStart w:id="3" w:name="_Toc18311678"/>
      <w:r w:rsidRPr="006E255B">
        <w:rPr>
          <w:b/>
        </w:rPr>
        <w:lastRenderedPageBreak/>
        <w:t>Australia</w:t>
      </w:r>
      <w:r w:rsidR="000D6475">
        <w:rPr>
          <w:b/>
        </w:rPr>
        <w:t>’</w:t>
      </w:r>
      <w:r w:rsidRPr="006E255B">
        <w:rPr>
          <w:b/>
        </w:rPr>
        <w:t xml:space="preserve">s </w:t>
      </w:r>
      <w:r w:rsidR="00232CB3" w:rsidRPr="006E255B">
        <w:rPr>
          <w:b/>
        </w:rPr>
        <w:t xml:space="preserve">20 </w:t>
      </w:r>
      <w:r w:rsidR="0098098E">
        <w:rPr>
          <w:b/>
        </w:rPr>
        <w:t>Y</w:t>
      </w:r>
      <w:r w:rsidR="00232CB3" w:rsidRPr="006E255B">
        <w:rPr>
          <w:b/>
        </w:rPr>
        <w:t xml:space="preserve">ear </w:t>
      </w:r>
      <w:r w:rsidR="0098098E">
        <w:rPr>
          <w:b/>
        </w:rPr>
        <w:t>V</w:t>
      </w:r>
      <w:r w:rsidRPr="006E255B">
        <w:rPr>
          <w:b/>
        </w:rPr>
        <w:t xml:space="preserve">ision for </w:t>
      </w:r>
      <w:r w:rsidR="0098098E">
        <w:rPr>
          <w:b/>
        </w:rPr>
        <w:t>A</w:t>
      </w:r>
      <w:r w:rsidRPr="006E255B">
        <w:rPr>
          <w:b/>
        </w:rPr>
        <w:t xml:space="preserve">ntimicrobial </w:t>
      </w:r>
      <w:r w:rsidR="0098098E">
        <w:rPr>
          <w:b/>
        </w:rPr>
        <w:t>R</w:t>
      </w:r>
      <w:r w:rsidRPr="006E255B">
        <w:rPr>
          <w:b/>
        </w:rPr>
        <w:t>esistance</w:t>
      </w:r>
      <w:bookmarkEnd w:id="3"/>
      <w:r w:rsidRPr="006E255B">
        <w:rPr>
          <w:b/>
        </w:rPr>
        <w:t xml:space="preserve"> </w:t>
      </w:r>
    </w:p>
    <w:p w14:paraId="1F716E78" w14:textId="77777777" w:rsidR="00C813A8" w:rsidRPr="006E255B" w:rsidRDefault="00ED5ECA" w:rsidP="00930229">
      <w:pPr>
        <w:spacing w:after="120" w:line="240" w:lineRule="auto"/>
        <w:rPr>
          <w:rFonts w:ascii="Calibri Light" w:hAnsi="Calibri Light" w:cs="Calibri Light"/>
        </w:rPr>
      </w:pPr>
      <w:r w:rsidRPr="006E255B">
        <w:rPr>
          <w:rFonts w:ascii="Arial" w:hAnsi="Arial" w:cs="Arial"/>
          <w:b/>
          <w:noProof/>
          <w:lang w:eastAsia="en-AU"/>
        </w:rPr>
        <mc:AlternateContent>
          <mc:Choice Requires="wps">
            <w:drawing>
              <wp:inline distT="0" distB="0" distL="0" distR="0" wp14:anchorId="41D28ECA" wp14:editId="741D7AE8">
                <wp:extent cx="5731510" cy="1561381"/>
                <wp:effectExtent l="0" t="0" r="0" b="0"/>
                <wp:docPr id="261" name="Text Box 261"/>
                <wp:cNvGraphicFramePr/>
                <a:graphic xmlns:a="http://schemas.openxmlformats.org/drawingml/2006/main">
                  <a:graphicData uri="http://schemas.microsoft.com/office/word/2010/wordprocessingShape">
                    <wps:wsp>
                      <wps:cNvSpPr txBox="1"/>
                      <wps:spPr>
                        <a:xfrm>
                          <a:off x="0" y="0"/>
                          <a:ext cx="5731510" cy="1561381"/>
                        </a:xfrm>
                        <a:prstGeom prst="rect">
                          <a:avLst/>
                        </a:prstGeom>
                        <a:noFill/>
                        <a:ln w="6350">
                          <a:noFill/>
                        </a:ln>
                        <a:effectLst/>
                      </wps:spPr>
                      <wps:txbx>
                        <w:txbxContent>
                          <w:p w14:paraId="7824A09C" w14:textId="77777777" w:rsidR="00F96E29" w:rsidRPr="003F0B2E" w:rsidRDefault="00F96E29" w:rsidP="00ED5ECA">
                            <w:pPr>
                              <w:pStyle w:val="IntenseQuote"/>
                              <w:spacing w:after="0" w:line="240" w:lineRule="auto"/>
                              <w:ind w:left="1151" w:right="1151"/>
                              <w:jc w:val="center"/>
                              <w:rPr>
                                <w:b/>
                              </w:rPr>
                            </w:pPr>
                            <w:r w:rsidRPr="003F0B2E">
                              <w:rPr>
                                <w:b/>
                              </w:rPr>
                              <w:t>Vision</w:t>
                            </w:r>
                          </w:p>
                          <w:p w14:paraId="30328AFE" w14:textId="7487D6B9" w:rsidR="00F96E29" w:rsidRDefault="00F96E29" w:rsidP="00ED5ECA">
                            <w:pPr>
                              <w:pStyle w:val="IntenseQuote"/>
                              <w:spacing w:before="120" w:after="0" w:line="240" w:lineRule="auto"/>
                              <w:ind w:left="1151" w:right="1151"/>
                              <w:rPr>
                                <w:rFonts w:eastAsiaTheme="minorHAnsi"/>
                                <w:sz w:val="20"/>
                              </w:rPr>
                            </w:pPr>
                            <w:r w:rsidRPr="003F0B2E">
                              <w:t>A society in which antimicrobials are recognised and managed as a valuable shared resource</w:t>
                            </w:r>
                            <w:r>
                              <w:t xml:space="preserve">; and their efficacy is maintained </w:t>
                            </w:r>
                            <w:r w:rsidRPr="003F0B2E">
                              <w:t xml:space="preserve">so that </w:t>
                            </w:r>
                            <w:r>
                              <w:t xml:space="preserve">the </w:t>
                            </w:r>
                            <w:r w:rsidRPr="003F0B2E">
                              <w:t xml:space="preserve">health of humans, animals and the environment </w:t>
                            </w:r>
                            <w:r>
                              <w:t>is</w:t>
                            </w:r>
                            <w:r w:rsidRPr="003F0B2E">
                              <w:t xml:space="preserve"> protected now and into the future.</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inline>
            </w:drawing>
          </mc:Choice>
          <mc:Fallback>
            <w:pict>
              <v:shapetype w14:anchorId="41D28ECA" id="_x0000_t202" coordsize="21600,21600" o:spt="202" path="m,l,21600r21600,l21600,xe">
                <v:stroke joinstyle="miter"/>
                <v:path gradientshapeok="t" o:connecttype="rect"/>
              </v:shapetype>
              <v:shape id="Text Box 261" o:spid="_x0000_s1026" type="#_x0000_t202" style="width:451.3pt;height:12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" filled="f" stroked="f" strokeweight=".5pt">
                <v:textbox inset=",7.2pt,,7.2pt">
                  <w:txbxContent>
                    <w:p w14:paraId="7824A09C" w14:textId="77777777" w:rsidR="00F96E29" w:rsidRPr="003F0B2E" w:rsidRDefault="00F96E29" w:rsidP="00ED5ECA">
                      <w:pPr>
                        <w:pStyle w:val="IntenseQuote"/>
                        <w:spacing w:after="0" w:line="240" w:lineRule="auto"/>
                        <w:ind w:left="1151" w:right="1151"/>
                        <w:jc w:val="center"/>
                        <w:rPr>
                          <w:b/>
                        </w:rPr>
                      </w:pPr>
                      <w:r w:rsidRPr="003F0B2E">
                        <w:rPr>
                          <w:b/>
                        </w:rPr>
                        <w:t>Vision</w:t>
                      </w:r>
                    </w:p>
                    <w:p w14:paraId="30328AFE" w14:textId="7487D6B9" w:rsidR="00F96E29" w:rsidRDefault="00F96E29" w:rsidP="00ED5ECA">
                      <w:pPr>
                        <w:pStyle w:val="IntenseQuote"/>
                        <w:spacing w:before="120" w:after="0" w:line="240" w:lineRule="auto"/>
                        <w:ind w:left="1151" w:right="1151"/>
                        <w:rPr>
                          <w:rFonts w:eastAsiaTheme="minorHAnsi"/>
                          <w:sz w:val="20"/>
                        </w:rPr>
                      </w:pPr>
                      <w:r w:rsidRPr="003F0B2E">
                        <w:t>A society in which antimicrobials are recognised and managed as a valuable shared resource</w:t>
                      </w:r>
                      <w:r>
                        <w:t xml:space="preserve">; and their efficacy is maintained </w:t>
                      </w:r>
                      <w:r w:rsidRPr="003F0B2E">
                        <w:t xml:space="preserve">so that </w:t>
                      </w:r>
                      <w:r>
                        <w:t xml:space="preserve">the </w:t>
                      </w:r>
                      <w:r w:rsidRPr="003F0B2E">
                        <w:t xml:space="preserve">health of humans, animals and the environment </w:t>
                      </w:r>
                      <w:r>
                        <w:t>is</w:t>
                      </w:r>
                      <w:r w:rsidRPr="003F0B2E">
                        <w:t xml:space="preserve"> protected now and into the future.</w:t>
                      </w:r>
                    </w:p>
                  </w:txbxContent>
                </v:textbox>
                <w10:anchorlock/>
              </v:shape>
            </w:pict>
          </mc:Fallback>
        </mc:AlternateContent>
      </w:r>
      <w:r w:rsidRPr="006E255B">
        <w:rPr>
          <w:rFonts w:ascii="Arial" w:hAnsi="Arial" w:cs="Arial"/>
          <w:b/>
          <w:noProof/>
          <w:lang w:eastAsia="en-AU"/>
        </w:rPr>
        <mc:AlternateContent>
          <mc:Choice Requires="wps">
            <w:drawing>
              <wp:inline distT="0" distB="0" distL="0" distR="0" wp14:anchorId="30215BB0" wp14:editId="65B75FEA">
                <wp:extent cx="5731510" cy="1283863"/>
                <wp:effectExtent l="0" t="0" r="0" b="0"/>
                <wp:docPr id="3" name="Text Box 3"/>
                <wp:cNvGraphicFramePr/>
                <a:graphic xmlns:a="http://schemas.openxmlformats.org/drawingml/2006/main">
                  <a:graphicData uri="http://schemas.microsoft.com/office/word/2010/wordprocessingShape">
                    <wps:wsp>
                      <wps:cNvSpPr txBox="1"/>
                      <wps:spPr>
                        <a:xfrm>
                          <a:off x="0" y="0"/>
                          <a:ext cx="5731510" cy="1283863"/>
                        </a:xfrm>
                        <a:prstGeom prst="rect">
                          <a:avLst/>
                        </a:prstGeom>
                        <a:noFill/>
                        <a:ln w="6350">
                          <a:noFill/>
                        </a:ln>
                        <a:effectLst/>
                      </wps:spPr>
                      <wps:txbx>
                        <w:txbxContent>
                          <w:p w14:paraId="7E1B2EA8" w14:textId="77777777" w:rsidR="00F96E29" w:rsidRPr="003F0B2E" w:rsidRDefault="00F96E29" w:rsidP="00ED5ECA">
                            <w:pPr>
                              <w:pStyle w:val="IntenseQuote"/>
                              <w:spacing w:after="0" w:line="240" w:lineRule="auto"/>
                              <w:ind w:left="1151" w:right="1151"/>
                              <w:jc w:val="center"/>
                              <w:rPr>
                                <w:b/>
                              </w:rPr>
                            </w:pPr>
                            <w:r>
                              <w:rPr>
                                <w:b/>
                              </w:rPr>
                              <w:t>Goal</w:t>
                            </w:r>
                          </w:p>
                          <w:p w14:paraId="73D9DF56" w14:textId="77777777" w:rsidR="00F96E29" w:rsidRDefault="00F96E29" w:rsidP="00ED5ECA">
                            <w:pPr>
                              <w:pStyle w:val="IntenseQuote"/>
                              <w:spacing w:before="120" w:after="0" w:line="240" w:lineRule="auto"/>
                              <w:ind w:left="1151" w:right="1151"/>
                              <w:rPr>
                                <w:rFonts w:eastAsiaTheme="minorHAnsi"/>
                                <w:sz w:val="20"/>
                              </w:rPr>
                            </w:pPr>
                            <w:r>
                              <w:t>Minimise the development and spread of antimicrobial resistance and ensure the continued availability of effective antimicrobials.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inline>
            </w:drawing>
          </mc:Choice>
          <mc:Fallback>
            <w:pict>
              <v:shape w14:anchorId="30215BB0" id="Text Box 3" o:spid="_x0000_s1027" type="#_x0000_t202" style="width:451.3pt;height:101.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" filled="f" stroked="f" strokeweight=".5pt">
                <v:textbox inset=",7.2pt,,7.2pt">
                  <w:txbxContent>
                    <w:p w14:paraId="7E1B2EA8" w14:textId="77777777" w:rsidR="00F96E29" w:rsidRPr="003F0B2E" w:rsidRDefault="00F96E29" w:rsidP="00ED5ECA">
                      <w:pPr>
                        <w:pStyle w:val="IntenseQuote"/>
                        <w:spacing w:after="0" w:line="240" w:lineRule="auto"/>
                        <w:ind w:left="1151" w:right="1151"/>
                        <w:jc w:val="center"/>
                        <w:rPr>
                          <w:b/>
                        </w:rPr>
                      </w:pPr>
                      <w:r>
                        <w:rPr>
                          <w:b/>
                        </w:rPr>
                        <w:t>Goal</w:t>
                      </w:r>
                    </w:p>
                    <w:p w14:paraId="73D9DF56" w14:textId="77777777" w:rsidR="00F96E29" w:rsidRDefault="00F96E29" w:rsidP="00ED5ECA">
                      <w:pPr>
                        <w:pStyle w:val="IntenseQuote"/>
                        <w:spacing w:before="120" w:after="0" w:line="240" w:lineRule="auto"/>
                        <w:ind w:left="1151" w:right="1151"/>
                        <w:rPr>
                          <w:rFonts w:eastAsiaTheme="minorHAnsi"/>
                          <w:sz w:val="20"/>
                        </w:rPr>
                      </w:pPr>
                      <w:r>
                        <w:t>Minimise the development and spread of antimicrobial resistance and ensure the continued availability of effective antimicrobials.</w:t>
                      </w:r>
                    </w:p>
                  </w:txbxContent>
                </v:textbox>
                <w10:anchorlock/>
              </v:shape>
            </w:pict>
          </mc:Fallback>
        </mc:AlternateContent>
      </w:r>
    </w:p>
    <w:p w14:paraId="5DA7A60B" w14:textId="7B3100C2" w:rsidR="00822983" w:rsidRPr="006E255B" w:rsidRDefault="001867D5" w:rsidP="00930229">
      <w:pPr>
        <w:spacing w:after="120" w:line="240" w:lineRule="auto"/>
        <w:rPr>
          <w:rFonts w:ascii="Calibri Light" w:hAnsi="Calibri Light" w:cs="Calibri Light"/>
        </w:rPr>
      </w:pPr>
      <w:r w:rsidRPr="006E255B">
        <w:rPr>
          <w:rFonts w:ascii="Calibri Light" w:hAnsi="Calibri Light" w:cs="Calibri Light"/>
        </w:rPr>
        <w:t xml:space="preserve">A world without antibiotics is inconceivable to us. </w:t>
      </w:r>
      <w:r w:rsidR="00374E55" w:rsidRPr="006E255B">
        <w:rPr>
          <w:rFonts w:ascii="Calibri Light" w:hAnsi="Calibri Light" w:cs="Calibri Light"/>
        </w:rPr>
        <w:t>Today, w</w:t>
      </w:r>
      <w:r w:rsidR="009A2C66" w:rsidRPr="006E255B">
        <w:rPr>
          <w:rFonts w:ascii="Calibri Light" w:hAnsi="Calibri Light" w:cs="Calibri Light"/>
        </w:rPr>
        <w:t>e ta</w:t>
      </w:r>
      <w:r w:rsidR="006C3534" w:rsidRPr="006E255B">
        <w:rPr>
          <w:rFonts w:ascii="Calibri Light" w:hAnsi="Calibri Light" w:cs="Calibri Light"/>
        </w:rPr>
        <w:t>k</w:t>
      </w:r>
      <w:r w:rsidR="009A2C66" w:rsidRPr="006E255B">
        <w:rPr>
          <w:rFonts w:ascii="Calibri Light" w:hAnsi="Calibri Light" w:cs="Calibri Light"/>
        </w:rPr>
        <w:t xml:space="preserve">e </w:t>
      </w:r>
      <w:r w:rsidR="000F7AC8" w:rsidRPr="006E255B">
        <w:rPr>
          <w:rFonts w:ascii="Calibri Light" w:hAnsi="Calibri Light" w:cs="Calibri Light"/>
        </w:rPr>
        <w:t>them</w:t>
      </w:r>
      <w:r w:rsidR="009A2C66" w:rsidRPr="006E255B">
        <w:rPr>
          <w:rFonts w:ascii="Calibri Light" w:hAnsi="Calibri Light" w:cs="Calibri Light"/>
        </w:rPr>
        <w:t xml:space="preserve"> for granted</w:t>
      </w:r>
      <w:r w:rsidR="006C3534" w:rsidRPr="006E255B">
        <w:rPr>
          <w:rFonts w:ascii="Calibri Light" w:hAnsi="Calibri Light" w:cs="Calibri Light"/>
        </w:rPr>
        <w:t xml:space="preserve">, but </w:t>
      </w:r>
      <w:r w:rsidR="00367FB0" w:rsidRPr="006E255B">
        <w:rPr>
          <w:rFonts w:ascii="Calibri Light" w:hAnsi="Calibri Light" w:cs="Calibri Light"/>
        </w:rPr>
        <w:t>before</w:t>
      </w:r>
      <w:r w:rsidR="00374E55" w:rsidRPr="006E255B">
        <w:rPr>
          <w:rFonts w:ascii="Calibri Light" w:hAnsi="Calibri Light" w:cs="Calibri Light"/>
        </w:rPr>
        <w:t xml:space="preserve"> 1941</w:t>
      </w:r>
      <w:r w:rsidR="006C3534" w:rsidRPr="006E255B">
        <w:rPr>
          <w:rFonts w:ascii="Calibri Light" w:hAnsi="Calibri Light" w:cs="Calibri Light"/>
        </w:rPr>
        <w:t xml:space="preserve">, </w:t>
      </w:r>
      <w:r w:rsidR="00B8192C" w:rsidRPr="006E255B">
        <w:rPr>
          <w:rFonts w:ascii="Calibri Light" w:hAnsi="Calibri Light" w:cs="Calibri Light"/>
        </w:rPr>
        <w:t>an infection from even a small cut</w:t>
      </w:r>
      <w:r w:rsidR="00517995" w:rsidRPr="006E255B">
        <w:rPr>
          <w:rFonts w:ascii="Calibri Light" w:hAnsi="Calibri Light" w:cs="Calibri Light"/>
        </w:rPr>
        <w:t xml:space="preserve"> </w:t>
      </w:r>
      <w:r w:rsidR="00BB256D" w:rsidRPr="006E255B">
        <w:rPr>
          <w:rFonts w:ascii="Calibri Light" w:hAnsi="Calibri Light" w:cs="Calibri Light"/>
        </w:rPr>
        <w:t>to</w:t>
      </w:r>
      <w:r w:rsidR="006017C1" w:rsidRPr="006E255B">
        <w:rPr>
          <w:rFonts w:ascii="Calibri Light" w:hAnsi="Calibri Light" w:cs="Calibri Light"/>
        </w:rPr>
        <w:t xml:space="preserve"> the skin </w:t>
      </w:r>
      <w:r w:rsidR="00517995" w:rsidRPr="006E255B">
        <w:rPr>
          <w:rFonts w:ascii="Calibri Light" w:hAnsi="Calibri Light" w:cs="Calibri Light"/>
        </w:rPr>
        <w:t>could kill</w:t>
      </w:r>
      <w:r w:rsidR="006C3534" w:rsidRPr="006E255B">
        <w:rPr>
          <w:rFonts w:ascii="Calibri Light" w:hAnsi="Calibri Light" w:cs="Calibri Light"/>
        </w:rPr>
        <w:t xml:space="preserve">. The </w:t>
      </w:r>
      <w:r w:rsidR="006C3534" w:rsidRPr="003F2DCA">
        <w:rPr>
          <w:rFonts w:ascii="Calibri Light" w:hAnsi="Calibri Light" w:cs="Calibri Light"/>
        </w:rPr>
        <w:t xml:space="preserve">first </w:t>
      </w:r>
      <w:r w:rsidR="00517995" w:rsidRPr="003F2DCA">
        <w:rPr>
          <w:rFonts w:ascii="Calibri Light" w:hAnsi="Calibri Light" w:cs="Calibri Light"/>
        </w:rPr>
        <w:t>patient</w:t>
      </w:r>
      <w:r w:rsidR="006C3534" w:rsidRPr="003F2DCA">
        <w:rPr>
          <w:rFonts w:ascii="Calibri Light" w:hAnsi="Calibri Light" w:cs="Calibri Light"/>
        </w:rPr>
        <w:t xml:space="preserve"> treated with penicillin</w:t>
      </w:r>
      <w:r w:rsidR="00367FB0" w:rsidRPr="006E255B">
        <w:rPr>
          <w:rFonts w:ascii="Calibri Light" w:hAnsi="Calibri Light" w:cs="Calibri Light"/>
        </w:rPr>
        <w:t xml:space="preserve"> was a 43-year-old English policeman </w:t>
      </w:r>
      <w:r w:rsidRPr="006E255B">
        <w:rPr>
          <w:rFonts w:ascii="Calibri Light" w:hAnsi="Calibri Light" w:cs="Calibri Light"/>
        </w:rPr>
        <w:t>who</w:t>
      </w:r>
      <w:r w:rsidR="00367FB0" w:rsidRPr="006E255B">
        <w:rPr>
          <w:rFonts w:ascii="Calibri Light" w:hAnsi="Calibri Light" w:cs="Calibri Light"/>
        </w:rPr>
        <w:t xml:space="preserve"> scratched his face on a rose </w:t>
      </w:r>
      <w:r w:rsidR="00A72733" w:rsidRPr="006E255B">
        <w:rPr>
          <w:rFonts w:ascii="Calibri Light" w:hAnsi="Calibri Light" w:cs="Calibri Light"/>
        </w:rPr>
        <w:t>thorn</w:t>
      </w:r>
      <w:r w:rsidR="00B8192C" w:rsidRPr="006E255B">
        <w:rPr>
          <w:rFonts w:ascii="Calibri Light" w:hAnsi="Calibri Light" w:cs="Calibri Light"/>
        </w:rPr>
        <w:t xml:space="preserve">. </w:t>
      </w:r>
      <w:r w:rsidR="00771E3A" w:rsidRPr="006E255B">
        <w:rPr>
          <w:rFonts w:ascii="Calibri Light" w:hAnsi="Calibri Light" w:cs="Calibri Light"/>
        </w:rPr>
        <w:t>Within</w:t>
      </w:r>
      <w:r w:rsidR="00B8192C" w:rsidRPr="006E255B">
        <w:rPr>
          <w:rFonts w:ascii="Calibri Light" w:hAnsi="Calibri Light" w:cs="Calibri Light"/>
        </w:rPr>
        <w:t xml:space="preserve"> </w:t>
      </w:r>
      <w:r w:rsidR="00A72733" w:rsidRPr="006E255B">
        <w:rPr>
          <w:rFonts w:ascii="Calibri Light" w:hAnsi="Calibri Light" w:cs="Calibri Light"/>
        </w:rPr>
        <w:t xml:space="preserve">a month, </w:t>
      </w:r>
      <w:r w:rsidR="004E23E6" w:rsidRPr="006E255B">
        <w:rPr>
          <w:rFonts w:ascii="Calibri Light" w:hAnsi="Calibri Light" w:cs="Calibri Light"/>
        </w:rPr>
        <w:t>the infection spread</w:t>
      </w:r>
      <w:r w:rsidR="00822983" w:rsidRPr="006E255B">
        <w:rPr>
          <w:rFonts w:ascii="Calibri Light" w:hAnsi="Calibri Light" w:cs="Calibri Light"/>
        </w:rPr>
        <w:t xml:space="preserve">, </w:t>
      </w:r>
      <w:r w:rsidR="004E23E6" w:rsidRPr="006E255B">
        <w:rPr>
          <w:rFonts w:ascii="Calibri Light" w:hAnsi="Calibri Light" w:cs="Calibri Light"/>
        </w:rPr>
        <w:t xml:space="preserve">his head was covered </w:t>
      </w:r>
      <w:r w:rsidR="008945F7" w:rsidRPr="006E255B">
        <w:rPr>
          <w:rFonts w:ascii="Calibri Light" w:hAnsi="Calibri Light" w:cs="Calibri Light"/>
        </w:rPr>
        <w:t>in</w:t>
      </w:r>
      <w:r w:rsidR="004E23E6" w:rsidRPr="006E255B">
        <w:rPr>
          <w:rFonts w:ascii="Calibri Light" w:hAnsi="Calibri Light" w:cs="Calibri Light"/>
        </w:rPr>
        <w:t xml:space="preserve"> abscesses and one eye had to be removed. </w:t>
      </w:r>
      <w:r w:rsidR="00822983" w:rsidRPr="006E255B">
        <w:rPr>
          <w:rFonts w:ascii="Calibri Light" w:hAnsi="Calibri Light" w:cs="Calibri Light"/>
        </w:rPr>
        <w:t>But a</w:t>
      </w:r>
      <w:r w:rsidR="008945F7" w:rsidRPr="006E255B">
        <w:rPr>
          <w:rFonts w:ascii="Calibri Light" w:hAnsi="Calibri Light" w:cs="Calibri Light"/>
        </w:rPr>
        <w:t xml:space="preserve">fter just 24 hours of </w:t>
      </w:r>
      <w:r w:rsidRPr="006E255B">
        <w:rPr>
          <w:rFonts w:ascii="Calibri Light" w:hAnsi="Calibri Light" w:cs="Calibri Light"/>
        </w:rPr>
        <w:t xml:space="preserve">the </w:t>
      </w:r>
      <w:r w:rsidR="00822983" w:rsidRPr="006E255B">
        <w:rPr>
          <w:rFonts w:ascii="Calibri Light" w:hAnsi="Calibri Light" w:cs="Calibri Light"/>
        </w:rPr>
        <w:t>first</w:t>
      </w:r>
      <w:r w:rsidR="008945F7" w:rsidRPr="006E255B">
        <w:rPr>
          <w:rFonts w:ascii="Calibri Light" w:hAnsi="Calibri Light" w:cs="Calibri Light"/>
        </w:rPr>
        <w:t xml:space="preserve"> </w:t>
      </w:r>
      <w:r w:rsidR="00032F1C">
        <w:rPr>
          <w:rFonts w:ascii="Calibri Light" w:hAnsi="Calibri Light" w:cs="Calibri Light"/>
        </w:rPr>
        <w:t>treatment</w:t>
      </w:r>
      <w:r w:rsidR="008945F7" w:rsidRPr="006E255B">
        <w:rPr>
          <w:rFonts w:ascii="Calibri Light" w:hAnsi="Calibri Light" w:cs="Calibri Light"/>
        </w:rPr>
        <w:t xml:space="preserve"> with </w:t>
      </w:r>
      <w:r w:rsidR="00F857D4" w:rsidRPr="006E255B">
        <w:rPr>
          <w:rFonts w:ascii="Calibri Light" w:hAnsi="Calibri Light" w:cs="Calibri Light"/>
        </w:rPr>
        <w:t>the experimental drug</w:t>
      </w:r>
      <w:r w:rsidR="008945F7" w:rsidRPr="006E255B">
        <w:rPr>
          <w:rFonts w:ascii="Calibri Light" w:hAnsi="Calibri Light" w:cs="Calibri Light"/>
        </w:rPr>
        <w:t xml:space="preserve">, his temperature dropped, his appetite returned, and the infection began to heal. On the fifth day, the </w:t>
      </w:r>
      <w:r w:rsidR="00F857D4" w:rsidRPr="006E255B">
        <w:rPr>
          <w:rFonts w:ascii="Calibri Light" w:hAnsi="Calibri Light" w:cs="Calibri Light"/>
        </w:rPr>
        <w:t xml:space="preserve">supply of </w:t>
      </w:r>
      <w:r w:rsidR="008945F7" w:rsidRPr="006E255B">
        <w:rPr>
          <w:rFonts w:ascii="Calibri Light" w:hAnsi="Calibri Light" w:cs="Calibri Light"/>
        </w:rPr>
        <w:t>penicillin ran out</w:t>
      </w:r>
      <w:r w:rsidR="00822983" w:rsidRPr="006E255B">
        <w:rPr>
          <w:rFonts w:ascii="Calibri Light" w:hAnsi="Calibri Light" w:cs="Calibri Light"/>
        </w:rPr>
        <w:t>; the man relapsed and die</w:t>
      </w:r>
      <w:r w:rsidR="00210078" w:rsidRPr="006E255B">
        <w:rPr>
          <w:rFonts w:ascii="Calibri Light" w:hAnsi="Calibri Light" w:cs="Calibri Light"/>
        </w:rPr>
        <w:t>d</w:t>
      </w:r>
      <w:r w:rsidR="00822983" w:rsidRPr="006E255B">
        <w:rPr>
          <w:rFonts w:ascii="Calibri Light" w:hAnsi="Calibri Light" w:cs="Calibri Light"/>
        </w:rPr>
        <w:t xml:space="preserve"> a month later. </w:t>
      </w:r>
    </w:p>
    <w:p w14:paraId="0399D389" w14:textId="5D3556C1" w:rsidR="00A34E26" w:rsidRPr="006E255B" w:rsidRDefault="00CD41D5" w:rsidP="00A6048F">
      <w:pPr>
        <w:spacing w:after="120" w:line="240" w:lineRule="auto"/>
        <w:rPr>
          <w:rFonts w:ascii="Calibri Light" w:hAnsi="Calibri Light" w:cs="Calibri Light"/>
        </w:rPr>
      </w:pPr>
      <w:r w:rsidRPr="006E255B">
        <w:rPr>
          <w:rFonts w:ascii="Calibri Light" w:hAnsi="Calibri Light" w:cs="Calibri Light"/>
        </w:rPr>
        <w:t xml:space="preserve">Antibiotics are just one of </w:t>
      </w:r>
      <w:r w:rsidR="00BB256D" w:rsidRPr="006E255B">
        <w:rPr>
          <w:rFonts w:ascii="Calibri Light" w:hAnsi="Calibri Light" w:cs="Calibri Light"/>
        </w:rPr>
        <w:t xml:space="preserve">a </w:t>
      </w:r>
      <w:r w:rsidR="00E227FC" w:rsidRPr="006E255B">
        <w:rPr>
          <w:rFonts w:ascii="Calibri Light" w:hAnsi="Calibri Light" w:cs="Calibri Light"/>
        </w:rPr>
        <w:t>range of</w:t>
      </w:r>
      <w:r w:rsidR="006017C1" w:rsidRPr="006E255B">
        <w:rPr>
          <w:rFonts w:ascii="Calibri Light" w:hAnsi="Calibri Light" w:cs="Calibri Light"/>
        </w:rPr>
        <w:t xml:space="preserve"> </w:t>
      </w:r>
      <w:r w:rsidR="0007009C">
        <w:rPr>
          <w:rFonts w:ascii="Calibri Light" w:hAnsi="Calibri Light" w:cs="Calibri Light"/>
        </w:rPr>
        <w:t xml:space="preserve">active </w:t>
      </w:r>
      <w:r w:rsidR="006017C1" w:rsidRPr="006E255B">
        <w:rPr>
          <w:rFonts w:ascii="Calibri Light" w:hAnsi="Calibri Light" w:cs="Calibri Light"/>
        </w:rPr>
        <w:t>agents we use</w:t>
      </w:r>
      <w:r w:rsidR="00E227FC" w:rsidRPr="006E255B">
        <w:rPr>
          <w:rFonts w:ascii="Calibri Light" w:hAnsi="Calibri Light" w:cs="Calibri Light"/>
        </w:rPr>
        <w:t xml:space="preserve"> today </w:t>
      </w:r>
      <w:r w:rsidR="006017C1" w:rsidRPr="006E255B">
        <w:rPr>
          <w:rFonts w:ascii="Calibri Light" w:hAnsi="Calibri Light" w:cs="Calibri Light"/>
        </w:rPr>
        <w:t xml:space="preserve">to kill </w:t>
      </w:r>
      <w:r w:rsidR="00C54980" w:rsidRPr="006E255B">
        <w:rPr>
          <w:rFonts w:ascii="Calibri Light" w:hAnsi="Calibri Light" w:cs="Calibri Light"/>
        </w:rPr>
        <w:t xml:space="preserve">or stop the growth of </w:t>
      </w:r>
      <w:r w:rsidR="002C6425">
        <w:rPr>
          <w:rFonts w:ascii="Calibri Light" w:hAnsi="Calibri Light" w:cs="Calibri Light"/>
        </w:rPr>
        <w:t>microbes</w:t>
      </w:r>
      <w:r w:rsidR="002C6425" w:rsidRPr="006E255B">
        <w:rPr>
          <w:rFonts w:ascii="Calibri Light" w:hAnsi="Calibri Light" w:cs="Calibri Light"/>
        </w:rPr>
        <w:t xml:space="preserve"> </w:t>
      </w:r>
      <w:r w:rsidR="00223D33" w:rsidRPr="006E255B">
        <w:rPr>
          <w:rFonts w:ascii="Calibri Light" w:hAnsi="Calibri Light" w:cs="Calibri Light"/>
        </w:rPr>
        <w:t>such as bacteria, fungi</w:t>
      </w:r>
      <w:r w:rsidR="00A34E26" w:rsidRPr="006E255B">
        <w:rPr>
          <w:rFonts w:ascii="Calibri Light" w:hAnsi="Calibri Light" w:cs="Calibri Light"/>
        </w:rPr>
        <w:t xml:space="preserve">, </w:t>
      </w:r>
      <w:r w:rsidR="00223D33" w:rsidRPr="006E255B">
        <w:rPr>
          <w:rFonts w:ascii="Calibri Light" w:hAnsi="Calibri Light" w:cs="Calibri Light"/>
        </w:rPr>
        <w:t>algae</w:t>
      </w:r>
      <w:r w:rsidR="00A34E26" w:rsidRPr="006E255B">
        <w:rPr>
          <w:rFonts w:ascii="Calibri Light" w:hAnsi="Calibri Light" w:cs="Calibri Light"/>
        </w:rPr>
        <w:t>, viruses and parasites</w:t>
      </w:r>
      <w:r w:rsidR="00C54980" w:rsidRPr="006E255B">
        <w:rPr>
          <w:rFonts w:ascii="Calibri Light" w:hAnsi="Calibri Light" w:cs="Calibri Light"/>
        </w:rPr>
        <w:t xml:space="preserve">; they are </w:t>
      </w:r>
      <w:r w:rsidR="00223D33" w:rsidRPr="006E255B">
        <w:rPr>
          <w:rFonts w:ascii="Calibri Light" w:hAnsi="Calibri Light" w:cs="Calibri Light"/>
        </w:rPr>
        <w:t xml:space="preserve">known collectively as </w:t>
      </w:r>
      <w:r w:rsidR="00223D33" w:rsidRPr="006E255B">
        <w:rPr>
          <w:rFonts w:ascii="Calibri Light" w:hAnsi="Calibri Light" w:cs="Calibri Light"/>
          <w:i/>
          <w:iCs/>
        </w:rPr>
        <w:t>antimicrobials</w:t>
      </w:r>
      <w:r w:rsidR="00223D33" w:rsidRPr="006E255B">
        <w:rPr>
          <w:rFonts w:ascii="Calibri Light" w:hAnsi="Calibri Light" w:cs="Calibri Light"/>
        </w:rPr>
        <w:t xml:space="preserve">. </w:t>
      </w:r>
      <w:r w:rsidR="00E227FC" w:rsidRPr="006E255B">
        <w:rPr>
          <w:rFonts w:ascii="Calibri Light" w:hAnsi="Calibri Light" w:cs="Calibri Light"/>
        </w:rPr>
        <w:t xml:space="preserve">They are some of the </w:t>
      </w:r>
      <w:r w:rsidR="00E227FC" w:rsidRPr="003F2DCA">
        <w:rPr>
          <w:rFonts w:ascii="Calibri Light" w:hAnsi="Calibri Light" w:cs="Calibri Light"/>
        </w:rPr>
        <w:t>most widely used therapeutic drugs worldwide</w:t>
      </w:r>
      <w:r w:rsidR="00A25CFC" w:rsidRPr="006E255B">
        <w:rPr>
          <w:rFonts w:ascii="Calibri Light" w:hAnsi="Calibri Light" w:cs="Calibri Light"/>
        </w:rPr>
        <w:t xml:space="preserve"> – in medicine, livestock, companion animals such as pets, in plant agriculture and even oil pipelines and industrial paints.</w:t>
      </w:r>
      <w:r w:rsidR="00A34E26" w:rsidRPr="006E255B">
        <w:rPr>
          <w:rFonts w:ascii="Calibri Light" w:hAnsi="Calibri Light" w:cs="Calibri Light"/>
        </w:rPr>
        <w:t xml:space="preserve"> </w:t>
      </w:r>
    </w:p>
    <w:p w14:paraId="3F54D296" w14:textId="77777777" w:rsidR="009466F6" w:rsidRDefault="0007009C" w:rsidP="003F2DFB">
      <w:pPr>
        <w:spacing w:after="120" w:line="240" w:lineRule="auto"/>
        <w:rPr>
          <w:rFonts w:ascii="Calibri Light" w:hAnsi="Calibri Light" w:cs="Calibri Light"/>
        </w:rPr>
      </w:pPr>
      <w:r>
        <w:rPr>
          <w:rFonts w:ascii="Calibri Light" w:hAnsi="Calibri Light" w:cs="Calibri Light"/>
        </w:rPr>
        <w:t xml:space="preserve">The </w:t>
      </w:r>
      <w:r w:rsidR="00C70A3F">
        <w:rPr>
          <w:rFonts w:ascii="Calibri Light" w:hAnsi="Calibri Light" w:cs="Calibri Light"/>
        </w:rPr>
        <w:t>drawback</w:t>
      </w:r>
      <w:r>
        <w:rPr>
          <w:rFonts w:ascii="Calibri Light" w:hAnsi="Calibri Light" w:cs="Calibri Light"/>
        </w:rPr>
        <w:t xml:space="preserve"> </w:t>
      </w:r>
      <w:r w:rsidR="00C70A3F">
        <w:rPr>
          <w:rFonts w:ascii="Calibri Light" w:hAnsi="Calibri Light" w:cs="Calibri Light"/>
        </w:rPr>
        <w:t>of</w:t>
      </w:r>
      <w:r>
        <w:rPr>
          <w:rFonts w:ascii="Calibri Light" w:hAnsi="Calibri Light" w:cs="Calibri Light"/>
        </w:rPr>
        <w:t xml:space="preserve"> these highly effective agents is that the more they are used, the less effective they become. Some microorganisms will always have a genetic mutation or two that allow them to resist antimicrobials. </w:t>
      </w:r>
      <w:r w:rsidR="00F068F1">
        <w:rPr>
          <w:rFonts w:ascii="Calibri Light" w:hAnsi="Calibri Light" w:cs="Calibri Light"/>
        </w:rPr>
        <w:t>Over time</w:t>
      </w:r>
      <w:r>
        <w:rPr>
          <w:rFonts w:ascii="Calibri Light" w:hAnsi="Calibri Light" w:cs="Calibri Light"/>
        </w:rPr>
        <w:t xml:space="preserve">, these </w:t>
      </w:r>
      <w:r w:rsidR="00F068F1">
        <w:rPr>
          <w:rFonts w:ascii="Calibri Light" w:hAnsi="Calibri Light" w:cs="Calibri Light"/>
        </w:rPr>
        <w:t xml:space="preserve">resistant </w:t>
      </w:r>
      <w:r>
        <w:rPr>
          <w:rFonts w:ascii="Calibri Light" w:hAnsi="Calibri Light" w:cs="Calibri Light"/>
        </w:rPr>
        <w:t xml:space="preserve">strains </w:t>
      </w:r>
      <w:r w:rsidR="00F068F1">
        <w:rPr>
          <w:rFonts w:ascii="Calibri Light" w:hAnsi="Calibri Light" w:cs="Calibri Light"/>
        </w:rPr>
        <w:t>can</w:t>
      </w:r>
      <w:r>
        <w:rPr>
          <w:rFonts w:ascii="Calibri Light" w:hAnsi="Calibri Light" w:cs="Calibri Light"/>
        </w:rPr>
        <w:t xml:space="preserve"> become dominant. </w:t>
      </w:r>
      <w:r w:rsidR="009466F6">
        <w:rPr>
          <w:rFonts w:ascii="Calibri Light" w:hAnsi="Calibri Light" w:cs="Calibri Light"/>
        </w:rPr>
        <w:t xml:space="preserve">This is known as antimicrobial resistance, and it is becoming more common worldwide, including in Australia. </w:t>
      </w:r>
    </w:p>
    <w:p w14:paraId="341F9797" w14:textId="03D408B1" w:rsidR="00AB4E7F" w:rsidRPr="006E255B" w:rsidRDefault="00023F3B" w:rsidP="00930229">
      <w:pPr>
        <w:spacing w:after="120" w:line="240" w:lineRule="auto"/>
        <w:rPr>
          <w:rFonts w:ascii="Calibri Light" w:hAnsi="Calibri Light" w:cs="Calibri Light"/>
        </w:rPr>
      </w:pPr>
      <w:r w:rsidRPr="006E255B">
        <w:rPr>
          <w:rFonts w:ascii="Calibri Light" w:hAnsi="Calibri Light" w:cs="Calibri Light"/>
        </w:rPr>
        <w:t xml:space="preserve">In this </w:t>
      </w:r>
      <w:r w:rsidR="00FD058E" w:rsidRPr="006E255B">
        <w:rPr>
          <w:rFonts w:ascii="Calibri Light" w:hAnsi="Calibri Light" w:cs="Calibri Light"/>
        </w:rPr>
        <w:t xml:space="preserve">long-term </w:t>
      </w:r>
      <w:r w:rsidR="001C4387" w:rsidRPr="006E255B">
        <w:rPr>
          <w:rFonts w:ascii="Calibri Light" w:hAnsi="Calibri Light" w:cs="Calibri Light"/>
        </w:rPr>
        <w:t>Strategy</w:t>
      </w:r>
      <w:r w:rsidRPr="006E255B">
        <w:rPr>
          <w:rFonts w:ascii="Calibri Light" w:hAnsi="Calibri Light" w:cs="Calibri Light"/>
        </w:rPr>
        <w:t>, Australia commi</w:t>
      </w:r>
      <w:r w:rsidR="00FD058E" w:rsidRPr="006E255B">
        <w:rPr>
          <w:rFonts w:ascii="Calibri Light" w:hAnsi="Calibri Light" w:cs="Calibri Light"/>
        </w:rPr>
        <w:t xml:space="preserve">ts </w:t>
      </w:r>
      <w:r w:rsidRPr="006E255B">
        <w:rPr>
          <w:rFonts w:ascii="Calibri Light" w:hAnsi="Calibri Light" w:cs="Calibri Light"/>
        </w:rPr>
        <w:t>to tackl</w:t>
      </w:r>
      <w:r w:rsidR="00FD058E" w:rsidRPr="006E255B">
        <w:rPr>
          <w:rFonts w:ascii="Calibri Light" w:hAnsi="Calibri Light" w:cs="Calibri Light"/>
        </w:rPr>
        <w:t>ing</w:t>
      </w:r>
      <w:r w:rsidRPr="006E255B">
        <w:rPr>
          <w:rFonts w:ascii="Calibri Light" w:hAnsi="Calibri Light" w:cs="Calibri Light"/>
        </w:rPr>
        <w:t xml:space="preserve"> antimicrobial resistance in humans, animals, </w:t>
      </w:r>
      <w:r w:rsidR="00416CF5" w:rsidRPr="006E255B">
        <w:rPr>
          <w:rFonts w:ascii="Calibri Light" w:hAnsi="Calibri Light" w:cs="Calibri Light"/>
        </w:rPr>
        <w:t xml:space="preserve">food and </w:t>
      </w:r>
      <w:r w:rsidRPr="006E255B">
        <w:rPr>
          <w:rFonts w:ascii="Calibri Light" w:hAnsi="Calibri Light" w:cs="Calibri Light"/>
        </w:rPr>
        <w:t xml:space="preserve">the environment </w:t>
      </w:r>
      <w:r w:rsidR="00FD058E" w:rsidRPr="006E255B">
        <w:rPr>
          <w:rFonts w:ascii="Calibri Light" w:hAnsi="Calibri Light" w:cs="Calibri Light"/>
        </w:rPr>
        <w:t>as a priority</w:t>
      </w:r>
      <w:r w:rsidRPr="006E255B">
        <w:rPr>
          <w:rFonts w:ascii="Calibri Light" w:hAnsi="Calibri Light" w:cs="Calibri Light"/>
        </w:rPr>
        <w:t xml:space="preserve">. </w:t>
      </w:r>
      <w:r w:rsidR="006279A7" w:rsidRPr="006E255B">
        <w:rPr>
          <w:rFonts w:ascii="Calibri Light" w:hAnsi="Calibri Light" w:cs="Calibri Light"/>
        </w:rPr>
        <w:t xml:space="preserve">This will be done under the </w:t>
      </w:r>
      <w:r w:rsidR="000D6475">
        <w:rPr>
          <w:rFonts w:ascii="Calibri Light" w:hAnsi="Calibri Light" w:cs="Calibri Light"/>
        </w:rPr>
        <w:t>‘</w:t>
      </w:r>
      <w:r w:rsidR="006279A7" w:rsidRPr="003F2DCA">
        <w:rPr>
          <w:rFonts w:ascii="Calibri Light" w:hAnsi="Calibri Light" w:cs="Calibri Light"/>
        </w:rPr>
        <w:t>One Health</w:t>
      </w:r>
      <w:r w:rsidR="000D6475" w:rsidRPr="003F2DCA">
        <w:rPr>
          <w:rFonts w:ascii="Calibri Light" w:hAnsi="Calibri Light" w:cs="Calibri Light"/>
        </w:rPr>
        <w:t>’</w:t>
      </w:r>
      <w:r w:rsidR="006279A7" w:rsidRPr="003F2DCA">
        <w:rPr>
          <w:rFonts w:ascii="Calibri Light" w:hAnsi="Calibri Light" w:cs="Calibri Light"/>
        </w:rPr>
        <w:t xml:space="preserve"> approach</w:t>
      </w:r>
      <w:r w:rsidR="006279A7" w:rsidRPr="006E255B">
        <w:rPr>
          <w:rFonts w:ascii="Calibri Light" w:hAnsi="Calibri Light" w:cs="Calibri Light"/>
        </w:rPr>
        <w:t xml:space="preserve">, which recognises </w:t>
      </w:r>
      <w:r w:rsidR="00A45616">
        <w:rPr>
          <w:rFonts w:ascii="Calibri Light" w:hAnsi="Calibri Light" w:cs="Calibri Light"/>
        </w:rPr>
        <w:t xml:space="preserve">the interconnection between </w:t>
      </w:r>
      <w:r w:rsidR="009F3F80" w:rsidRPr="006E255B">
        <w:rPr>
          <w:rFonts w:ascii="Calibri Light" w:hAnsi="Calibri Light" w:cs="Calibri Light"/>
        </w:rPr>
        <w:t>people</w:t>
      </w:r>
      <w:r w:rsidR="00A45616">
        <w:rPr>
          <w:rFonts w:ascii="Calibri Light" w:hAnsi="Calibri Light" w:cs="Calibri Light"/>
        </w:rPr>
        <w:t>,</w:t>
      </w:r>
      <w:r w:rsidR="009F3F80" w:rsidRPr="006E255B">
        <w:rPr>
          <w:rFonts w:ascii="Calibri Light" w:hAnsi="Calibri Light" w:cs="Calibri Light"/>
        </w:rPr>
        <w:t xml:space="preserve"> animals, plants and their shared environment</w:t>
      </w:r>
      <w:r w:rsidR="006279A7" w:rsidRPr="006E255B">
        <w:rPr>
          <w:rFonts w:ascii="Calibri Light" w:hAnsi="Calibri Light" w:cs="Calibri Light"/>
        </w:rPr>
        <w:t>. A</w:t>
      </w:r>
      <w:r w:rsidR="00FD058E" w:rsidRPr="006E255B">
        <w:rPr>
          <w:rFonts w:ascii="Calibri Light" w:hAnsi="Calibri Light" w:cs="Calibri Light"/>
        </w:rPr>
        <w:t>cross a number of sectors</w:t>
      </w:r>
      <w:r w:rsidR="008A0262" w:rsidRPr="006E255B">
        <w:rPr>
          <w:rFonts w:ascii="Calibri Light" w:hAnsi="Calibri Light" w:cs="Calibri Light"/>
        </w:rPr>
        <w:t xml:space="preserve"> – locally, nationally and globally – </w:t>
      </w:r>
      <w:r w:rsidRPr="006E255B">
        <w:rPr>
          <w:rFonts w:ascii="Calibri Light" w:hAnsi="Calibri Light" w:cs="Calibri Light"/>
        </w:rPr>
        <w:t xml:space="preserve">efforts </w:t>
      </w:r>
      <w:r w:rsidR="00416CF5" w:rsidRPr="006E255B">
        <w:rPr>
          <w:rFonts w:ascii="Calibri Light" w:hAnsi="Calibri Light" w:cs="Calibri Light"/>
        </w:rPr>
        <w:t xml:space="preserve">will be aligned </w:t>
      </w:r>
      <w:r w:rsidRPr="006E255B">
        <w:rPr>
          <w:rFonts w:ascii="Calibri Light" w:hAnsi="Calibri Light" w:cs="Calibri Light"/>
        </w:rPr>
        <w:t xml:space="preserve">and, through </w:t>
      </w:r>
      <w:r w:rsidR="00416CF5" w:rsidRPr="006E255B">
        <w:rPr>
          <w:rFonts w:ascii="Calibri Light" w:hAnsi="Calibri Light" w:cs="Calibri Light"/>
        </w:rPr>
        <w:t xml:space="preserve">targeted </w:t>
      </w:r>
      <w:r w:rsidRPr="006E255B">
        <w:rPr>
          <w:rFonts w:ascii="Calibri Light" w:hAnsi="Calibri Light" w:cs="Calibri Light"/>
        </w:rPr>
        <w:t xml:space="preserve">collaboration, policy, practice and systems </w:t>
      </w:r>
      <w:r w:rsidR="008A0262" w:rsidRPr="006E255B">
        <w:rPr>
          <w:rFonts w:ascii="Calibri Light" w:hAnsi="Calibri Light" w:cs="Calibri Light"/>
        </w:rPr>
        <w:t xml:space="preserve">will be strengthened </w:t>
      </w:r>
      <w:r w:rsidRPr="006E255B">
        <w:rPr>
          <w:rFonts w:ascii="Calibri Light" w:hAnsi="Calibri Light" w:cs="Calibri Light"/>
        </w:rPr>
        <w:t>to minimise the development and spread of antimicrobial resistance</w:t>
      </w:r>
      <w:r w:rsidR="00137BEA" w:rsidRPr="006E255B">
        <w:rPr>
          <w:rFonts w:ascii="Calibri Light" w:hAnsi="Calibri Light" w:cs="Calibri Light"/>
        </w:rPr>
        <w:t xml:space="preserve">. Only such a </w:t>
      </w:r>
      <w:r w:rsidR="00A23B61" w:rsidRPr="006E255B">
        <w:rPr>
          <w:rFonts w:ascii="Calibri Light" w:hAnsi="Calibri Light" w:cs="Calibri Light"/>
        </w:rPr>
        <w:t xml:space="preserve">holistic approach can </w:t>
      </w:r>
      <w:r w:rsidRPr="006E255B">
        <w:rPr>
          <w:rFonts w:ascii="Calibri Light" w:hAnsi="Calibri Light" w:cs="Calibri Light"/>
        </w:rPr>
        <w:t>ensure the continued availability of effective antimicrobials</w:t>
      </w:r>
      <w:r w:rsidR="00A23B61" w:rsidRPr="006E255B">
        <w:rPr>
          <w:rFonts w:ascii="Calibri Light" w:hAnsi="Calibri Light" w:cs="Calibri Light"/>
        </w:rPr>
        <w:t xml:space="preserve"> </w:t>
      </w:r>
      <w:r w:rsidR="003961D3">
        <w:rPr>
          <w:rFonts w:ascii="Calibri Light" w:hAnsi="Calibri Light" w:cs="Calibri Light"/>
        </w:rPr>
        <w:t>for</w:t>
      </w:r>
      <w:r w:rsidR="00A23B61" w:rsidRPr="006E255B">
        <w:rPr>
          <w:rFonts w:ascii="Calibri Light" w:hAnsi="Calibri Light" w:cs="Calibri Light"/>
        </w:rPr>
        <w:t xml:space="preserve"> decades to come</w:t>
      </w:r>
      <w:r w:rsidRPr="006E255B">
        <w:rPr>
          <w:rFonts w:ascii="Calibri Light" w:hAnsi="Calibri Light" w:cs="Calibri Light"/>
        </w:rPr>
        <w:t>.</w:t>
      </w:r>
    </w:p>
    <w:p w14:paraId="3B074031" w14:textId="6A9392E1" w:rsidR="004832ED" w:rsidRPr="006E255B" w:rsidRDefault="004832ED" w:rsidP="00930229">
      <w:pPr>
        <w:pStyle w:val="Heading1"/>
        <w:spacing w:before="0" w:after="120" w:line="240" w:lineRule="auto"/>
        <w:contextualSpacing w:val="0"/>
        <w:rPr>
          <w:b/>
        </w:rPr>
      </w:pPr>
      <w:bookmarkStart w:id="4" w:name="_Toc18311679"/>
      <w:r w:rsidRPr="006E255B">
        <w:rPr>
          <w:b/>
        </w:rPr>
        <w:t xml:space="preserve">Objectives </w:t>
      </w:r>
      <w:r w:rsidR="005B3F26" w:rsidRPr="006E255B">
        <w:rPr>
          <w:b/>
        </w:rPr>
        <w:t xml:space="preserve">and </w:t>
      </w:r>
      <w:r w:rsidR="00A24728">
        <w:rPr>
          <w:b/>
        </w:rPr>
        <w:t>P</w:t>
      </w:r>
      <w:r w:rsidR="005B3F26" w:rsidRPr="006E255B">
        <w:rPr>
          <w:b/>
        </w:rPr>
        <w:t xml:space="preserve">riority </w:t>
      </w:r>
      <w:r w:rsidR="00A24728">
        <w:rPr>
          <w:b/>
        </w:rPr>
        <w:t>A</w:t>
      </w:r>
      <w:r w:rsidR="005B3F26" w:rsidRPr="006E255B">
        <w:rPr>
          <w:b/>
        </w:rPr>
        <w:t xml:space="preserve">reas for </w:t>
      </w:r>
      <w:r w:rsidR="00A24728">
        <w:rPr>
          <w:b/>
        </w:rPr>
        <w:t>A</w:t>
      </w:r>
      <w:r w:rsidR="005B3F26" w:rsidRPr="006E255B">
        <w:rPr>
          <w:b/>
        </w:rPr>
        <w:t>ction</w:t>
      </w:r>
      <w:bookmarkEnd w:id="4"/>
    </w:p>
    <w:p w14:paraId="20366474" w14:textId="43A338C5" w:rsidR="000A633D" w:rsidRPr="006E255B" w:rsidRDefault="005B3F26" w:rsidP="005B3F26">
      <w:pPr>
        <w:spacing w:after="120" w:line="240" w:lineRule="auto"/>
        <w:rPr>
          <w:rFonts w:ascii="Calibri Light" w:hAnsi="Calibri Light" w:cs="Calibri Light"/>
        </w:rPr>
      </w:pPr>
      <w:r w:rsidRPr="006E255B">
        <w:rPr>
          <w:rFonts w:ascii="Calibri Light" w:hAnsi="Calibri Light" w:cs="Calibri Light"/>
        </w:rPr>
        <w:t xml:space="preserve">The </w:t>
      </w:r>
      <w:r w:rsidR="001C4387" w:rsidRPr="006E255B">
        <w:rPr>
          <w:rFonts w:ascii="Calibri Light" w:hAnsi="Calibri Light" w:cs="Calibri Light"/>
        </w:rPr>
        <w:t xml:space="preserve">Strategy </w:t>
      </w:r>
      <w:r w:rsidRPr="006E255B">
        <w:rPr>
          <w:rFonts w:ascii="Calibri Light" w:hAnsi="Calibri Light" w:cs="Calibri Light"/>
        </w:rPr>
        <w:t xml:space="preserve">is supported by seven key objectives </w:t>
      </w:r>
      <w:r w:rsidR="00CE2E7F" w:rsidRPr="006E255B">
        <w:rPr>
          <w:rFonts w:ascii="Calibri Light" w:hAnsi="Calibri Light" w:cs="Calibri Light"/>
        </w:rPr>
        <w:t>that</w:t>
      </w:r>
      <w:r w:rsidRPr="006E255B">
        <w:rPr>
          <w:rFonts w:ascii="Calibri Light" w:hAnsi="Calibri Light" w:cs="Calibri Light"/>
        </w:rPr>
        <w:t xml:space="preserve"> will guide all sectors</w:t>
      </w:r>
      <w:r w:rsidR="008E08E4" w:rsidRPr="006E255B">
        <w:rPr>
          <w:rFonts w:ascii="Calibri Light" w:hAnsi="Calibri Light" w:cs="Calibri Light"/>
        </w:rPr>
        <w:t xml:space="preserve"> (see </w:t>
      </w:r>
      <w:r w:rsidR="004A538C" w:rsidRPr="006E255B">
        <w:rPr>
          <w:rFonts w:ascii="Calibri Light" w:hAnsi="Calibri Light" w:cs="Calibri Light"/>
        </w:rPr>
        <w:t xml:space="preserve">table </w:t>
      </w:r>
      <w:r w:rsidR="008E08E4" w:rsidRPr="006E255B">
        <w:rPr>
          <w:rFonts w:ascii="Calibri Light" w:hAnsi="Calibri Light" w:cs="Calibri Light"/>
        </w:rPr>
        <w:t>below)</w:t>
      </w:r>
      <w:r w:rsidR="001A00F0" w:rsidRPr="006E255B">
        <w:rPr>
          <w:rFonts w:ascii="Calibri Light" w:hAnsi="Calibri Light" w:cs="Calibri Light"/>
        </w:rPr>
        <w:t xml:space="preserve">. </w:t>
      </w:r>
      <w:r w:rsidR="00D67C60" w:rsidRPr="006E255B">
        <w:rPr>
          <w:rFonts w:ascii="Calibri Light" w:hAnsi="Calibri Light" w:cs="Calibri Light"/>
        </w:rPr>
        <w:t xml:space="preserve">Effective action across </w:t>
      </w:r>
      <w:r w:rsidR="000A633D" w:rsidRPr="006E255B">
        <w:rPr>
          <w:rFonts w:ascii="Calibri Light" w:hAnsi="Calibri Light" w:cs="Calibri Light"/>
        </w:rPr>
        <w:t>th</w:t>
      </w:r>
      <w:r w:rsidR="00CA1DCD">
        <w:rPr>
          <w:rFonts w:ascii="Calibri Light" w:hAnsi="Calibri Light" w:cs="Calibri Light"/>
        </w:rPr>
        <w:t>e</w:t>
      </w:r>
      <w:r w:rsidR="000A633D" w:rsidRPr="006E255B">
        <w:rPr>
          <w:rFonts w:ascii="Calibri Light" w:hAnsi="Calibri Light" w:cs="Calibri Light"/>
        </w:rPr>
        <w:t>se</w:t>
      </w:r>
      <w:r w:rsidR="00D67C60" w:rsidRPr="006E255B">
        <w:rPr>
          <w:rFonts w:ascii="Calibri Light" w:hAnsi="Calibri Light" w:cs="Calibri Light"/>
        </w:rPr>
        <w:t xml:space="preserve"> objectives will be driven by </w:t>
      </w:r>
      <w:r w:rsidR="00EA34D0" w:rsidRPr="006E255B">
        <w:rPr>
          <w:rFonts w:ascii="Calibri Light" w:hAnsi="Calibri Light" w:cs="Calibri Light"/>
        </w:rPr>
        <w:t>the overarching objective</w:t>
      </w:r>
      <w:r w:rsidR="008E08E4" w:rsidRPr="006E255B">
        <w:rPr>
          <w:rFonts w:ascii="Calibri Light" w:hAnsi="Calibri Light" w:cs="Calibri Light"/>
        </w:rPr>
        <w:t xml:space="preserve"> </w:t>
      </w:r>
      <w:r w:rsidR="00EA34D0" w:rsidRPr="006E255B">
        <w:rPr>
          <w:rFonts w:ascii="Calibri Light" w:hAnsi="Calibri Light" w:cs="Calibri Light"/>
        </w:rPr>
        <w:t xml:space="preserve">of </w:t>
      </w:r>
      <w:r w:rsidR="00D67C60" w:rsidRPr="006E255B">
        <w:rPr>
          <w:rFonts w:ascii="Calibri Light" w:hAnsi="Calibri Light" w:cs="Calibri Light"/>
        </w:rPr>
        <w:t>transparent governance arrangements</w:t>
      </w:r>
      <w:r w:rsidR="002618FF" w:rsidRPr="006E255B">
        <w:rPr>
          <w:rFonts w:ascii="Calibri Light" w:hAnsi="Calibri Light" w:cs="Calibri Light"/>
        </w:rPr>
        <w:t>: clear responsibilities at the local, jurisdictional and national level to ensure leadership, engagement and accountability for actions to combat antimicrobial resistance.</w:t>
      </w:r>
    </w:p>
    <w:p w14:paraId="61B88902" w14:textId="23AE2375" w:rsidR="008F1ADF" w:rsidRDefault="001A00F0" w:rsidP="003E295F">
      <w:pPr>
        <w:spacing w:after="120" w:line="240" w:lineRule="auto"/>
        <w:rPr>
          <w:rFonts w:ascii="Calibri Light" w:hAnsi="Calibri Light" w:cs="Calibri Light"/>
        </w:rPr>
      </w:pPr>
      <w:r w:rsidRPr="006E255B">
        <w:rPr>
          <w:rFonts w:ascii="Calibri Light" w:hAnsi="Calibri Light" w:cs="Calibri Light"/>
        </w:rPr>
        <w:t xml:space="preserve">Four </w:t>
      </w:r>
      <w:r w:rsidR="000D6475">
        <w:rPr>
          <w:rFonts w:ascii="Calibri Light" w:hAnsi="Calibri Light" w:cs="Calibri Light"/>
        </w:rPr>
        <w:t>‘</w:t>
      </w:r>
      <w:r w:rsidRPr="006E255B">
        <w:rPr>
          <w:rFonts w:ascii="Calibri Light" w:hAnsi="Calibri Light" w:cs="Calibri Light"/>
        </w:rPr>
        <w:t>pillar objectives</w:t>
      </w:r>
      <w:r w:rsidR="000D6475">
        <w:rPr>
          <w:rFonts w:ascii="Calibri Light" w:hAnsi="Calibri Light" w:cs="Calibri Light"/>
        </w:rPr>
        <w:t>’</w:t>
      </w:r>
      <w:r w:rsidRPr="006E255B">
        <w:rPr>
          <w:rFonts w:ascii="Calibri Light" w:hAnsi="Calibri Light" w:cs="Calibri Light"/>
        </w:rPr>
        <w:t xml:space="preserve"> </w:t>
      </w:r>
      <w:r w:rsidR="008E08E4" w:rsidRPr="006E255B">
        <w:rPr>
          <w:rFonts w:ascii="Calibri Light" w:hAnsi="Calibri Light" w:cs="Calibri Light"/>
        </w:rPr>
        <w:t xml:space="preserve">(numbers 2 to 5) will work concurrently to </w:t>
      </w:r>
      <w:r w:rsidR="00237A9C" w:rsidRPr="006E255B">
        <w:rPr>
          <w:rFonts w:ascii="Calibri Light" w:hAnsi="Calibri Light" w:cs="Calibri Light"/>
        </w:rPr>
        <w:t xml:space="preserve">a) </w:t>
      </w:r>
      <w:r w:rsidR="00174C21">
        <w:rPr>
          <w:rFonts w:ascii="Calibri Light" w:hAnsi="Calibri Light" w:cs="Calibri Light"/>
        </w:rPr>
        <w:t>prevent and control infections and</w:t>
      </w:r>
      <w:r w:rsidR="00E33A00" w:rsidRPr="006E255B">
        <w:rPr>
          <w:rFonts w:ascii="Calibri Light" w:hAnsi="Calibri Light" w:cs="Calibri Light"/>
        </w:rPr>
        <w:t xml:space="preserve"> the spread of resistance</w:t>
      </w:r>
      <w:r w:rsidR="005B3F26" w:rsidRPr="006E255B">
        <w:rPr>
          <w:rFonts w:ascii="Calibri Light" w:hAnsi="Calibri Light" w:cs="Calibri Light"/>
        </w:rPr>
        <w:t xml:space="preserve">; </w:t>
      </w:r>
      <w:r w:rsidR="00237A9C" w:rsidRPr="006E255B">
        <w:rPr>
          <w:rFonts w:ascii="Calibri Light" w:hAnsi="Calibri Light" w:cs="Calibri Light"/>
        </w:rPr>
        <w:t xml:space="preserve">b) </w:t>
      </w:r>
      <w:r w:rsidR="00E33A00" w:rsidRPr="006E255B">
        <w:rPr>
          <w:rFonts w:ascii="Calibri Light" w:hAnsi="Calibri Light" w:cs="Calibri Light"/>
        </w:rPr>
        <w:t>improve engagement amongst stakeholders</w:t>
      </w:r>
      <w:r w:rsidRPr="006E255B">
        <w:rPr>
          <w:rFonts w:ascii="Calibri Light" w:hAnsi="Calibri Light" w:cs="Calibri Light"/>
        </w:rPr>
        <w:t xml:space="preserve">; </w:t>
      </w:r>
      <w:r w:rsidR="00237A9C" w:rsidRPr="006E255B">
        <w:rPr>
          <w:rFonts w:ascii="Calibri Light" w:hAnsi="Calibri Light" w:cs="Calibri Light"/>
        </w:rPr>
        <w:t xml:space="preserve">c) </w:t>
      </w:r>
      <w:r w:rsidR="001249F3" w:rsidRPr="006E255B">
        <w:rPr>
          <w:rFonts w:ascii="Calibri Light" w:hAnsi="Calibri Light" w:cs="Calibri Light"/>
        </w:rPr>
        <w:t>practi</w:t>
      </w:r>
      <w:r w:rsidR="00CA1DCD">
        <w:rPr>
          <w:rFonts w:ascii="Calibri Light" w:hAnsi="Calibri Light" w:cs="Calibri Light"/>
        </w:rPr>
        <w:t>s</w:t>
      </w:r>
      <w:r w:rsidR="001249F3" w:rsidRPr="006E255B">
        <w:rPr>
          <w:rFonts w:ascii="Calibri Light" w:hAnsi="Calibri Light" w:cs="Calibri Light"/>
        </w:rPr>
        <w:t>e better antimicrobial stewardship and management;</w:t>
      </w:r>
      <w:r w:rsidR="004A538C" w:rsidRPr="006E255B">
        <w:rPr>
          <w:rFonts w:ascii="Calibri Light" w:hAnsi="Calibri Light" w:cs="Calibri Light"/>
        </w:rPr>
        <w:t xml:space="preserve"> and d) </w:t>
      </w:r>
      <w:r w:rsidR="00191CC0">
        <w:rPr>
          <w:rFonts w:ascii="Calibri Light" w:hAnsi="Calibri Light" w:cs="Calibri Light"/>
        </w:rPr>
        <w:t>undertake</w:t>
      </w:r>
      <w:r w:rsidR="00174C21">
        <w:rPr>
          <w:rFonts w:ascii="Calibri Light" w:hAnsi="Calibri Light" w:cs="Calibri Light"/>
        </w:rPr>
        <w:t xml:space="preserve"> </w:t>
      </w:r>
      <w:r w:rsidR="00E33A00" w:rsidRPr="006E255B">
        <w:rPr>
          <w:rFonts w:ascii="Calibri Light" w:hAnsi="Calibri Light" w:cs="Calibri Light"/>
        </w:rPr>
        <w:t>effective surveillance</w:t>
      </w:r>
      <w:r w:rsidR="00174C21">
        <w:rPr>
          <w:rFonts w:ascii="Calibri Light" w:hAnsi="Calibri Light" w:cs="Calibri Light"/>
        </w:rPr>
        <w:t xml:space="preserve"> and threat responses</w:t>
      </w:r>
      <w:r w:rsidRPr="006E255B">
        <w:rPr>
          <w:rFonts w:ascii="Calibri Light" w:hAnsi="Calibri Light" w:cs="Calibri Light"/>
        </w:rPr>
        <w:t xml:space="preserve">. </w:t>
      </w:r>
      <w:r w:rsidR="00A43B32" w:rsidRPr="006E255B">
        <w:rPr>
          <w:rFonts w:ascii="Calibri Light" w:hAnsi="Calibri Light" w:cs="Calibri Light"/>
        </w:rPr>
        <w:t>Support</w:t>
      </w:r>
      <w:r w:rsidR="00683D5F" w:rsidRPr="006E255B">
        <w:rPr>
          <w:rFonts w:ascii="Calibri Light" w:hAnsi="Calibri Light" w:cs="Calibri Light"/>
        </w:rPr>
        <w:t>ing</w:t>
      </w:r>
      <w:r w:rsidR="00A43B32" w:rsidRPr="006E255B">
        <w:rPr>
          <w:rFonts w:ascii="Calibri Light" w:hAnsi="Calibri Light" w:cs="Calibri Light"/>
        </w:rPr>
        <w:t xml:space="preserve"> the four pillar objectives are </w:t>
      </w:r>
      <w:r w:rsidR="00683D5F" w:rsidRPr="006E255B">
        <w:rPr>
          <w:rFonts w:ascii="Calibri Light" w:hAnsi="Calibri Light" w:cs="Calibri Light"/>
        </w:rPr>
        <w:t xml:space="preserve">two </w:t>
      </w:r>
      <w:r w:rsidR="00A43B32" w:rsidRPr="006E255B">
        <w:rPr>
          <w:rFonts w:ascii="Calibri Light" w:hAnsi="Calibri Light" w:cs="Calibri Light"/>
        </w:rPr>
        <w:t>further o</w:t>
      </w:r>
      <w:r w:rsidRPr="006E255B">
        <w:rPr>
          <w:rFonts w:ascii="Calibri Light" w:hAnsi="Calibri Light" w:cs="Calibri Light"/>
        </w:rPr>
        <w:t xml:space="preserve">bjectives </w:t>
      </w:r>
      <w:r w:rsidR="001249F3" w:rsidRPr="006E255B">
        <w:rPr>
          <w:rFonts w:ascii="Calibri Light" w:hAnsi="Calibri Light" w:cs="Calibri Light"/>
        </w:rPr>
        <w:t xml:space="preserve">(numbers </w:t>
      </w:r>
      <w:r w:rsidR="001249F3">
        <w:rPr>
          <w:rFonts w:ascii="Calibri Light" w:hAnsi="Calibri Light" w:cs="Calibri Light"/>
        </w:rPr>
        <w:t>6</w:t>
      </w:r>
      <w:r w:rsidR="001249F3" w:rsidRPr="006E255B">
        <w:rPr>
          <w:rFonts w:ascii="Calibri Light" w:hAnsi="Calibri Light" w:cs="Calibri Light"/>
        </w:rPr>
        <w:t xml:space="preserve"> </w:t>
      </w:r>
      <w:r w:rsidR="001249F3">
        <w:rPr>
          <w:rFonts w:ascii="Calibri Light" w:hAnsi="Calibri Light" w:cs="Calibri Light"/>
        </w:rPr>
        <w:t>and</w:t>
      </w:r>
      <w:r w:rsidR="001249F3" w:rsidRPr="006E255B">
        <w:rPr>
          <w:rFonts w:ascii="Calibri Light" w:hAnsi="Calibri Light" w:cs="Calibri Light"/>
        </w:rPr>
        <w:t xml:space="preserve"> </w:t>
      </w:r>
      <w:r w:rsidR="001249F3">
        <w:rPr>
          <w:rFonts w:ascii="Calibri Light" w:hAnsi="Calibri Light" w:cs="Calibri Light"/>
        </w:rPr>
        <w:t>7</w:t>
      </w:r>
      <w:r w:rsidR="001249F3" w:rsidRPr="006E255B">
        <w:rPr>
          <w:rFonts w:ascii="Calibri Light" w:hAnsi="Calibri Light" w:cs="Calibri Light"/>
        </w:rPr>
        <w:t xml:space="preserve">) </w:t>
      </w:r>
      <w:r w:rsidRPr="006E255B">
        <w:rPr>
          <w:rFonts w:ascii="Calibri Light" w:hAnsi="Calibri Light" w:cs="Calibri Light"/>
        </w:rPr>
        <w:t xml:space="preserve">for </w:t>
      </w:r>
      <w:r w:rsidRPr="006E255B">
        <w:rPr>
          <w:rFonts w:ascii="Calibri Light" w:hAnsi="Calibri Light" w:cs="Calibri Light"/>
        </w:rPr>
        <w:lastRenderedPageBreak/>
        <w:t>research and international collaboration</w:t>
      </w:r>
      <w:r w:rsidR="00683D5F" w:rsidRPr="006E255B">
        <w:rPr>
          <w:rFonts w:ascii="Calibri Light" w:hAnsi="Calibri Light" w:cs="Calibri Light"/>
        </w:rPr>
        <w:t xml:space="preserve"> and partnerships</w:t>
      </w:r>
      <w:r w:rsidR="005B3F26" w:rsidRPr="006E255B">
        <w:rPr>
          <w:rFonts w:ascii="Calibri Light" w:hAnsi="Calibri Light" w:cs="Calibri Light"/>
        </w:rPr>
        <w:t xml:space="preserve">. </w:t>
      </w:r>
      <w:r w:rsidR="003E295F" w:rsidRPr="006E255B">
        <w:rPr>
          <w:rFonts w:ascii="Calibri Light" w:hAnsi="Calibri Light" w:cs="Calibri Light"/>
        </w:rPr>
        <w:t xml:space="preserve">Each objective outlines priority areas for action to focus efforts and </w:t>
      </w:r>
      <w:r w:rsidR="0060357E">
        <w:rPr>
          <w:rFonts w:ascii="Calibri Light" w:hAnsi="Calibri Light" w:cs="Calibri Light"/>
        </w:rPr>
        <w:t xml:space="preserve">to </w:t>
      </w:r>
      <w:r w:rsidR="003E295F" w:rsidRPr="006E255B">
        <w:rPr>
          <w:rFonts w:ascii="Calibri Light" w:hAnsi="Calibri Light" w:cs="Calibri Light"/>
        </w:rPr>
        <w:t>guide th</w:t>
      </w:r>
      <w:r w:rsidR="008F1ADF">
        <w:rPr>
          <w:rFonts w:ascii="Calibri Light" w:hAnsi="Calibri Light" w:cs="Calibri Light"/>
        </w:rPr>
        <w:t xml:space="preserve">e development of action plans. </w:t>
      </w:r>
    </w:p>
    <w:p w14:paraId="7F6D0DE1" w14:textId="77777777" w:rsidR="008F1ADF" w:rsidRPr="006E255B" w:rsidRDefault="008F1ADF" w:rsidP="003E295F">
      <w:pPr>
        <w:spacing w:after="120" w:line="240" w:lineRule="auto"/>
        <w:rPr>
          <w:rFonts w:ascii="Calibri Light" w:hAnsi="Calibri Light" w:cs="Calibri Light"/>
        </w:rPr>
      </w:pPr>
    </w:p>
    <w:tbl>
      <w:tblPr>
        <w:tblStyle w:val="TableGrid"/>
        <w:tblW w:w="0" w:type="auto"/>
        <w:tblLook w:val="04A0" w:firstRow="1" w:lastRow="0" w:firstColumn="1" w:lastColumn="0" w:noHBand="0" w:noVBand="1"/>
        <w:tblCaption w:val="The relationship between the seven objectives under Australia's National Antimicrobial Strategy - 2020 and Beyond "/>
        <w:tblDescription w:val="The figure illustrates the overarching objective of clear governance for antimicrobial resistance initiatives that is underpinned by the four pillar objectives of two, three, four and five, which are then supported by the remaining objectives of six and seven. "/>
      </w:tblPr>
      <w:tblGrid>
        <w:gridCol w:w="777"/>
        <w:gridCol w:w="2070"/>
        <w:gridCol w:w="2062"/>
        <w:gridCol w:w="2053"/>
        <w:gridCol w:w="2054"/>
      </w:tblGrid>
      <w:tr w:rsidR="00137972" w:rsidRPr="006E255B" w14:paraId="46B23965" w14:textId="77777777" w:rsidTr="009F5CA6">
        <w:trPr>
          <w:tblHeader/>
        </w:trPr>
        <w:tc>
          <w:tcPr>
            <w:tcW w:w="777" w:type="dxa"/>
            <w:vMerge w:val="restart"/>
            <w:shd w:val="clear" w:color="auto" w:fill="F2F2F2" w:themeFill="background1" w:themeFillShade="F2"/>
            <w:textDirection w:val="btLr"/>
          </w:tcPr>
          <w:p w14:paraId="15BA701F" w14:textId="77777777" w:rsidR="00137972" w:rsidRPr="006E255B" w:rsidRDefault="00137972" w:rsidP="00043E04">
            <w:pPr>
              <w:spacing w:after="120"/>
              <w:ind w:left="113" w:right="113"/>
              <w:jc w:val="center"/>
              <w:rPr>
                <w:rFonts w:ascii="Tahoma" w:hAnsi="Tahoma" w:cs="Tahoma"/>
                <w:b/>
                <w:sz w:val="36"/>
                <w:szCs w:val="36"/>
              </w:rPr>
            </w:pPr>
            <w:r w:rsidRPr="006E255B">
              <w:rPr>
                <w:rFonts w:ascii="Tahoma" w:hAnsi="Tahoma" w:cs="Tahoma"/>
                <w:b/>
                <w:sz w:val="36"/>
                <w:szCs w:val="36"/>
              </w:rPr>
              <w:t>Objectives</w:t>
            </w:r>
          </w:p>
        </w:tc>
        <w:tc>
          <w:tcPr>
            <w:tcW w:w="8239" w:type="dxa"/>
            <w:gridSpan w:val="4"/>
            <w:shd w:val="clear" w:color="auto" w:fill="DAEEF3" w:themeFill="accent5" w:themeFillTint="33"/>
          </w:tcPr>
          <w:p w14:paraId="2C6C00A6" w14:textId="77777777" w:rsidR="00010752" w:rsidRPr="00010752" w:rsidRDefault="00010752" w:rsidP="00010752">
            <w:pPr>
              <w:pStyle w:val="Heading2"/>
              <w:spacing w:before="0" w:after="120" w:line="240" w:lineRule="auto"/>
              <w:ind w:left="420"/>
              <w:outlineLvl w:val="1"/>
              <w:rPr>
                <w:b/>
              </w:rPr>
            </w:pPr>
          </w:p>
          <w:p w14:paraId="46619A4D" w14:textId="77777777" w:rsidR="00137972" w:rsidRDefault="007570D4" w:rsidP="00DC45B2">
            <w:pPr>
              <w:pStyle w:val="Heading2"/>
              <w:numPr>
                <w:ilvl w:val="0"/>
                <w:numId w:val="16"/>
              </w:numPr>
              <w:spacing w:before="0" w:after="120" w:line="240" w:lineRule="auto"/>
              <w:outlineLvl w:val="1"/>
              <w:rPr>
                <w:rFonts w:ascii="Arial" w:hAnsi="Arial"/>
                <w:b/>
                <w:smallCaps w:val="0"/>
                <w:sz w:val="20"/>
              </w:rPr>
            </w:pPr>
            <w:bookmarkStart w:id="5" w:name="_Toc15030328"/>
            <w:bookmarkStart w:id="6" w:name="_Toc15313978"/>
            <w:bookmarkStart w:id="7" w:name="_Toc15314096"/>
            <w:bookmarkStart w:id="8" w:name="_Toc18311680"/>
            <w:r>
              <w:rPr>
                <w:rFonts w:ascii="Arial" w:hAnsi="Arial"/>
                <w:b/>
                <w:smallCaps w:val="0"/>
                <w:sz w:val="20"/>
              </w:rPr>
              <w:t>Clear Governance for Antimicrobial Resistance Initiatives</w:t>
            </w:r>
            <w:bookmarkEnd w:id="5"/>
            <w:bookmarkEnd w:id="6"/>
            <w:bookmarkEnd w:id="7"/>
            <w:bookmarkEnd w:id="8"/>
          </w:p>
          <w:p w14:paraId="29694614" w14:textId="77777777" w:rsidR="00010752" w:rsidRPr="00010752" w:rsidRDefault="00010752" w:rsidP="00010752"/>
        </w:tc>
      </w:tr>
      <w:tr w:rsidR="0005477D" w:rsidRPr="006E255B" w14:paraId="0C713CE8" w14:textId="77777777" w:rsidTr="009F5CA6">
        <w:trPr>
          <w:tblHeader/>
        </w:trPr>
        <w:tc>
          <w:tcPr>
            <w:tcW w:w="777" w:type="dxa"/>
            <w:vMerge/>
            <w:shd w:val="clear" w:color="auto" w:fill="F2F2F2" w:themeFill="background1" w:themeFillShade="F2"/>
            <w:textDirection w:val="btLr"/>
          </w:tcPr>
          <w:p w14:paraId="3E50A026" w14:textId="77777777" w:rsidR="00137972" w:rsidRPr="006E255B" w:rsidRDefault="00137972" w:rsidP="00043E04">
            <w:pPr>
              <w:spacing w:after="120"/>
              <w:ind w:left="113" w:right="113"/>
              <w:jc w:val="center"/>
              <w:rPr>
                <w:rFonts w:ascii="Arial" w:hAnsi="Arial" w:cs="Tahoma"/>
                <w:b/>
                <w:smallCaps/>
                <w:sz w:val="20"/>
                <w:szCs w:val="36"/>
              </w:rPr>
            </w:pPr>
          </w:p>
        </w:tc>
        <w:tc>
          <w:tcPr>
            <w:tcW w:w="2070" w:type="dxa"/>
            <w:shd w:val="clear" w:color="auto" w:fill="DAEEF3" w:themeFill="accent5" w:themeFillTint="33"/>
          </w:tcPr>
          <w:p w14:paraId="361C9E15" w14:textId="77777777" w:rsidR="00010752" w:rsidRDefault="0005477D" w:rsidP="00563769">
            <w:pPr>
              <w:pStyle w:val="Heading2"/>
              <w:spacing w:before="0" w:after="120" w:line="240" w:lineRule="auto"/>
              <w:outlineLvl w:val="1"/>
              <w:rPr>
                <w:rFonts w:ascii="Arial" w:hAnsi="Arial" w:cs="Tahoma"/>
                <w:b/>
                <w:smallCaps w:val="0"/>
                <w:sz w:val="20"/>
                <w:szCs w:val="20"/>
              </w:rPr>
            </w:pPr>
            <w:r w:rsidRPr="006E255B">
              <w:rPr>
                <w:rFonts w:ascii="Arial" w:hAnsi="Arial"/>
                <w:b/>
                <w:smallCaps w:val="0"/>
                <w:sz w:val="20"/>
              </w:rPr>
              <w:t xml:space="preserve"> </w:t>
            </w:r>
          </w:p>
          <w:p w14:paraId="02E96206" w14:textId="77777777" w:rsidR="00563769" w:rsidRPr="006E255B" w:rsidRDefault="00563769" w:rsidP="00563769">
            <w:pPr>
              <w:pStyle w:val="Heading2"/>
              <w:spacing w:before="0" w:after="120" w:line="240" w:lineRule="auto"/>
              <w:outlineLvl w:val="1"/>
              <w:rPr>
                <w:rFonts w:ascii="Arial" w:hAnsi="Arial"/>
                <w:b/>
                <w:smallCaps w:val="0"/>
                <w:sz w:val="20"/>
              </w:rPr>
            </w:pPr>
            <w:bookmarkStart w:id="9" w:name="_Toc15022456"/>
            <w:bookmarkStart w:id="10" w:name="_Toc15030329"/>
            <w:bookmarkStart w:id="11" w:name="_Toc15314097"/>
            <w:bookmarkStart w:id="12" w:name="_Toc18311681"/>
            <w:r>
              <w:rPr>
                <w:rFonts w:ascii="Arial" w:hAnsi="Arial" w:cs="Tahoma"/>
                <w:b/>
                <w:smallCaps w:val="0"/>
                <w:sz w:val="20"/>
                <w:szCs w:val="20"/>
              </w:rPr>
              <w:t>2</w:t>
            </w:r>
            <w:r w:rsidRPr="006E255B">
              <w:rPr>
                <w:rFonts w:ascii="Arial" w:hAnsi="Arial" w:cs="Tahoma"/>
                <w:b/>
                <w:smallCaps w:val="0"/>
                <w:sz w:val="20"/>
                <w:szCs w:val="20"/>
              </w:rPr>
              <w:t xml:space="preserve">. </w:t>
            </w:r>
            <w:r w:rsidR="00D95D33">
              <w:rPr>
                <w:rFonts w:ascii="Arial" w:hAnsi="Arial"/>
                <w:b/>
                <w:smallCaps w:val="0"/>
                <w:sz w:val="20"/>
              </w:rPr>
              <w:t>Prevention and C</w:t>
            </w:r>
            <w:r w:rsidRPr="006E255B">
              <w:rPr>
                <w:rFonts w:ascii="Arial" w:hAnsi="Arial"/>
                <w:b/>
                <w:smallCaps w:val="0"/>
                <w:sz w:val="20"/>
              </w:rPr>
              <w:t>ontrol o</w:t>
            </w:r>
            <w:r w:rsidR="00D95D33">
              <w:rPr>
                <w:rFonts w:ascii="Arial" w:hAnsi="Arial"/>
                <w:b/>
                <w:smallCaps w:val="0"/>
                <w:sz w:val="20"/>
              </w:rPr>
              <w:t>f I</w:t>
            </w:r>
            <w:r w:rsidR="007570D4">
              <w:rPr>
                <w:rFonts w:ascii="Arial" w:hAnsi="Arial"/>
                <w:b/>
                <w:smallCaps w:val="0"/>
                <w:sz w:val="20"/>
              </w:rPr>
              <w:t xml:space="preserve">nfections and the </w:t>
            </w:r>
            <w:r w:rsidR="00D95D33">
              <w:rPr>
                <w:rFonts w:ascii="Arial" w:hAnsi="Arial"/>
                <w:b/>
                <w:smallCaps w:val="0"/>
                <w:sz w:val="20"/>
              </w:rPr>
              <w:t>S</w:t>
            </w:r>
            <w:r w:rsidR="007570D4">
              <w:rPr>
                <w:rFonts w:ascii="Arial" w:hAnsi="Arial"/>
                <w:b/>
                <w:smallCaps w:val="0"/>
                <w:sz w:val="20"/>
              </w:rPr>
              <w:t xml:space="preserve">pread of </w:t>
            </w:r>
            <w:r w:rsidR="00D95D33">
              <w:rPr>
                <w:rFonts w:ascii="Arial" w:hAnsi="Arial"/>
                <w:b/>
                <w:smallCaps w:val="0"/>
                <w:sz w:val="20"/>
              </w:rPr>
              <w:t>R</w:t>
            </w:r>
            <w:r w:rsidRPr="006E255B">
              <w:rPr>
                <w:rFonts w:ascii="Arial" w:hAnsi="Arial"/>
                <w:b/>
                <w:smallCaps w:val="0"/>
                <w:sz w:val="20"/>
              </w:rPr>
              <w:t>esistance</w:t>
            </w:r>
            <w:bookmarkEnd w:id="9"/>
            <w:bookmarkEnd w:id="10"/>
            <w:bookmarkEnd w:id="11"/>
            <w:bookmarkEnd w:id="12"/>
          </w:p>
          <w:p w14:paraId="4E624437" w14:textId="77777777" w:rsidR="00137972" w:rsidRPr="006E255B" w:rsidRDefault="00137972" w:rsidP="00DC45B2">
            <w:pPr>
              <w:ind w:left="720"/>
              <w:rPr>
                <w:rFonts w:ascii="Arial" w:hAnsi="Arial"/>
                <w:b/>
                <w:sz w:val="20"/>
                <w:szCs w:val="28"/>
              </w:rPr>
            </w:pPr>
          </w:p>
        </w:tc>
        <w:tc>
          <w:tcPr>
            <w:tcW w:w="2062" w:type="dxa"/>
            <w:shd w:val="clear" w:color="auto" w:fill="DAEEF3" w:themeFill="accent5" w:themeFillTint="33"/>
          </w:tcPr>
          <w:p w14:paraId="2ADFC920" w14:textId="77777777" w:rsidR="00010752" w:rsidRPr="00010752" w:rsidRDefault="00010752" w:rsidP="00010752"/>
          <w:p w14:paraId="6633A49E" w14:textId="77777777" w:rsidR="00137972" w:rsidRDefault="00563769" w:rsidP="00010752">
            <w:pPr>
              <w:pStyle w:val="Heading2"/>
              <w:spacing w:before="0" w:after="120" w:line="240" w:lineRule="auto"/>
              <w:outlineLvl w:val="1"/>
              <w:rPr>
                <w:rFonts w:ascii="Arial" w:hAnsi="Arial"/>
                <w:b/>
                <w:smallCaps w:val="0"/>
                <w:sz w:val="20"/>
              </w:rPr>
            </w:pPr>
            <w:bookmarkStart w:id="13" w:name="_Toc15314098"/>
            <w:bookmarkStart w:id="14" w:name="_Toc15030330"/>
            <w:bookmarkStart w:id="15" w:name="_Toc15313980"/>
            <w:bookmarkStart w:id="16" w:name="_Toc15022457"/>
            <w:bookmarkStart w:id="17" w:name="_Toc18311682"/>
            <w:r>
              <w:rPr>
                <w:rFonts w:ascii="Arial" w:hAnsi="Arial"/>
                <w:b/>
                <w:smallCaps w:val="0"/>
                <w:sz w:val="20"/>
              </w:rPr>
              <w:t>3</w:t>
            </w:r>
            <w:r w:rsidRPr="006E255B">
              <w:rPr>
                <w:rFonts w:ascii="Arial" w:hAnsi="Arial"/>
                <w:b/>
                <w:smallCaps w:val="0"/>
                <w:sz w:val="20"/>
              </w:rPr>
              <w:t xml:space="preserve">. </w:t>
            </w:r>
            <w:r w:rsidR="007570D4">
              <w:rPr>
                <w:rFonts w:ascii="Arial" w:hAnsi="Arial"/>
                <w:b/>
                <w:smallCaps w:val="0"/>
                <w:sz w:val="20"/>
              </w:rPr>
              <w:t>Greater Engagement in the Combat Against Resistance</w:t>
            </w:r>
            <w:bookmarkEnd w:id="13"/>
            <w:bookmarkEnd w:id="14"/>
            <w:bookmarkEnd w:id="15"/>
            <w:bookmarkEnd w:id="16"/>
            <w:bookmarkEnd w:id="17"/>
          </w:p>
          <w:p w14:paraId="663F32FD" w14:textId="77777777" w:rsidR="00E33A00" w:rsidRPr="00E33A00" w:rsidRDefault="00E33A00" w:rsidP="00E33A00"/>
        </w:tc>
        <w:tc>
          <w:tcPr>
            <w:tcW w:w="2053" w:type="dxa"/>
            <w:shd w:val="clear" w:color="auto" w:fill="DAEEF3" w:themeFill="accent5" w:themeFillTint="33"/>
          </w:tcPr>
          <w:p w14:paraId="2193FBD6" w14:textId="77777777" w:rsidR="00010752" w:rsidRPr="00010752" w:rsidRDefault="00010752" w:rsidP="00010752"/>
          <w:p w14:paraId="4531181C" w14:textId="77777777" w:rsidR="00563769" w:rsidRPr="006E255B" w:rsidRDefault="00563769" w:rsidP="00563769">
            <w:pPr>
              <w:pStyle w:val="Heading2"/>
              <w:spacing w:before="0" w:after="120" w:line="240" w:lineRule="auto"/>
              <w:outlineLvl w:val="1"/>
              <w:rPr>
                <w:rFonts w:ascii="Arial" w:hAnsi="Arial"/>
                <w:b/>
                <w:smallCaps w:val="0"/>
                <w:sz w:val="20"/>
              </w:rPr>
            </w:pPr>
            <w:bookmarkStart w:id="18" w:name="_Toc15022458"/>
            <w:bookmarkStart w:id="19" w:name="_Toc15030331"/>
            <w:bookmarkStart w:id="20" w:name="_Toc15313981"/>
            <w:bookmarkStart w:id="21" w:name="_Toc15314099"/>
            <w:bookmarkStart w:id="22" w:name="_Toc18311683"/>
            <w:r>
              <w:rPr>
                <w:rFonts w:ascii="Arial" w:hAnsi="Arial" w:cs="Tahoma"/>
                <w:b/>
                <w:smallCaps w:val="0"/>
                <w:sz w:val="20"/>
                <w:szCs w:val="20"/>
              </w:rPr>
              <w:t>4</w:t>
            </w:r>
            <w:r w:rsidRPr="006E255B">
              <w:rPr>
                <w:rFonts w:ascii="Arial" w:hAnsi="Arial"/>
                <w:b/>
                <w:smallCaps w:val="0"/>
                <w:sz w:val="20"/>
              </w:rPr>
              <w:t xml:space="preserve">. Appropriate </w:t>
            </w:r>
            <w:bookmarkEnd w:id="18"/>
            <w:r w:rsidR="00D95D33">
              <w:rPr>
                <w:rFonts w:ascii="Arial" w:hAnsi="Arial"/>
                <w:b/>
                <w:smallCaps w:val="0"/>
                <w:sz w:val="20"/>
              </w:rPr>
              <w:t>Usage and Stewardship Practices</w:t>
            </w:r>
            <w:bookmarkEnd w:id="19"/>
            <w:bookmarkEnd w:id="20"/>
            <w:bookmarkEnd w:id="21"/>
            <w:bookmarkEnd w:id="22"/>
            <w:r w:rsidRPr="006E255B">
              <w:rPr>
                <w:rFonts w:ascii="Arial" w:hAnsi="Arial"/>
                <w:b/>
                <w:smallCaps w:val="0"/>
                <w:sz w:val="20"/>
              </w:rPr>
              <w:t xml:space="preserve"> </w:t>
            </w:r>
          </w:p>
          <w:p w14:paraId="0776BC13" w14:textId="77777777" w:rsidR="00137972" w:rsidRPr="006E255B" w:rsidRDefault="00137972" w:rsidP="00010752">
            <w:pPr>
              <w:pStyle w:val="Heading2"/>
              <w:spacing w:before="0" w:after="120" w:line="240" w:lineRule="auto"/>
              <w:outlineLvl w:val="1"/>
              <w:rPr>
                <w:rFonts w:ascii="Arial" w:hAnsi="Arial" w:cs="Tahoma"/>
                <w:b/>
                <w:sz w:val="20"/>
                <w:szCs w:val="20"/>
              </w:rPr>
            </w:pPr>
          </w:p>
        </w:tc>
        <w:tc>
          <w:tcPr>
            <w:tcW w:w="2054" w:type="dxa"/>
            <w:shd w:val="clear" w:color="auto" w:fill="DAEEF3" w:themeFill="accent5" w:themeFillTint="33"/>
          </w:tcPr>
          <w:p w14:paraId="7119C678" w14:textId="77777777" w:rsidR="00010752" w:rsidRPr="00010752" w:rsidRDefault="00010752" w:rsidP="00010752"/>
          <w:p w14:paraId="04DFD1D3" w14:textId="77777777" w:rsidR="00563769" w:rsidRPr="006E255B" w:rsidRDefault="00563769" w:rsidP="00563769">
            <w:pPr>
              <w:pStyle w:val="Heading2"/>
              <w:spacing w:before="0" w:after="120" w:line="240" w:lineRule="auto"/>
              <w:outlineLvl w:val="1"/>
              <w:rPr>
                <w:rFonts w:ascii="Arial" w:hAnsi="Arial"/>
                <w:b/>
                <w:smallCaps w:val="0"/>
                <w:sz w:val="20"/>
              </w:rPr>
            </w:pPr>
            <w:bookmarkStart w:id="23" w:name="_Toc15022459"/>
            <w:bookmarkStart w:id="24" w:name="_Toc15313982"/>
            <w:bookmarkStart w:id="25" w:name="_Toc15314100"/>
            <w:bookmarkStart w:id="26" w:name="_Toc15030332"/>
            <w:bookmarkStart w:id="27" w:name="_Toc18311684"/>
            <w:r>
              <w:rPr>
                <w:rFonts w:ascii="Arial" w:hAnsi="Arial" w:cs="Tahoma"/>
                <w:b/>
                <w:smallCaps w:val="0"/>
                <w:sz w:val="20"/>
                <w:szCs w:val="20"/>
              </w:rPr>
              <w:t>5</w:t>
            </w:r>
            <w:r w:rsidRPr="006E255B">
              <w:rPr>
                <w:rFonts w:ascii="Arial" w:hAnsi="Arial" w:cs="Tahoma"/>
                <w:b/>
                <w:smallCaps w:val="0"/>
                <w:sz w:val="20"/>
                <w:szCs w:val="20"/>
              </w:rPr>
              <w:t xml:space="preserve">. </w:t>
            </w:r>
            <w:r w:rsidRPr="006E255B">
              <w:rPr>
                <w:rFonts w:ascii="Arial" w:hAnsi="Arial"/>
                <w:b/>
                <w:smallCaps w:val="0"/>
                <w:sz w:val="20"/>
              </w:rPr>
              <w:t xml:space="preserve"> </w:t>
            </w:r>
            <w:bookmarkEnd w:id="23"/>
            <w:r w:rsidR="00D95D33">
              <w:rPr>
                <w:rFonts w:ascii="Arial" w:hAnsi="Arial"/>
                <w:b/>
                <w:smallCaps w:val="0"/>
                <w:sz w:val="20"/>
              </w:rPr>
              <w:t xml:space="preserve">Integrated Surveillance </w:t>
            </w:r>
            <w:r w:rsidR="00924A2A">
              <w:rPr>
                <w:rFonts w:ascii="Arial" w:hAnsi="Arial"/>
                <w:b/>
                <w:smallCaps w:val="0"/>
                <w:sz w:val="20"/>
              </w:rPr>
              <w:t xml:space="preserve">and Response to </w:t>
            </w:r>
            <w:r w:rsidR="00D95D33">
              <w:rPr>
                <w:rFonts w:ascii="Arial" w:hAnsi="Arial"/>
                <w:b/>
                <w:smallCaps w:val="0"/>
                <w:sz w:val="20"/>
              </w:rPr>
              <w:t>Resistance and Usage</w:t>
            </w:r>
            <w:bookmarkEnd w:id="24"/>
            <w:bookmarkEnd w:id="25"/>
            <w:bookmarkEnd w:id="26"/>
            <w:bookmarkEnd w:id="27"/>
            <w:r w:rsidRPr="006E255B">
              <w:rPr>
                <w:rFonts w:ascii="Arial" w:hAnsi="Arial"/>
                <w:b/>
                <w:smallCaps w:val="0"/>
                <w:sz w:val="20"/>
              </w:rPr>
              <w:t xml:space="preserve"> </w:t>
            </w:r>
          </w:p>
          <w:p w14:paraId="1981323E" w14:textId="77777777" w:rsidR="00137972" w:rsidRPr="006E255B" w:rsidRDefault="00137972" w:rsidP="00137972">
            <w:pPr>
              <w:rPr>
                <w:rFonts w:ascii="Arial" w:hAnsi="Arial" w:cs="Tahoma"/>
                <w:b/>
                <w:sz w:val="20"/>
                <w:szCs w:val="20"/>
              </w:rPr>
            </w:pPr>
          </w:p>
        </w:tc>
      </w:tr>
      <w:tr w:rsidR="00137972" w:rsidRPr="006E255B" w14:paraId="12F0E7E8" w14:textId="77777777" w:rsidTr="009F5CA6">
        <w:trPr>
          <w:tblHeader/>
        </w:trPr>
        <w:tc>
          <w:tcPr>
            <w:tcW w:w="777" w:type="dxa"/>
            <w:vMerge/>
            <w:shd w:val="clear" w:color="auto" w:fill="F2F2F2" w:themeFill="background1" w:themeFillShade="F2"/>
          </w:tcPr>
          <w:p w14:paraId="6F3A5596" w14:textId="77777777" w:rsidR="00137972" w:rsidRPr="006E255B" w:rsidRDefault="00137972" w:rsidP="005B3F26">
            <w:pPr>
              <w:spacing w:after="120"/>
              <w:rPr>
                <w:rFonts w:ascii="Arial" w:hAnsi="Arial" w:cs="Tahoma"/>
                <w:smallCaps/>
                <w:sz w:val="20"/>
                <w:szCs w:val="20"/>
              </w:rPr>
            </w:pPr>
          </w:p>
        </w:tc>
        <w:tc>
          <w:tcPr>
            <w:tcW w:w="8239" w:type="dxa"/>
            <w:gridSpan w:val="4"/>
            <w:shd w:val="clear" w:color="auto" w:fill="FDE9D9" w:themeFill="accent6" w:themeFillTint="33"/>
          </w:tcPr>
          <w:p w14:paraId="2BF25C5F" w14:textId="77777777" w:rsidR="00010752" w:rsidRDefault="00010752" w:rsidP="00DC45B2">
            <w:pPr>
              <w:pStyle w:val="Heading2"/>
              <w:spacing w:before="0" w:after="120" w:line="240" w:lineRule="auto"/>
              <w:outlineLvl w:val="1"/>
              <w:rPr>
                <w:rFonts w:ascii="Arial" w:hAnsi="Arial" w:cs="Tahoma"/>
                <w:b/>
                <w:smallCaps w:val="0"/>
                <w:sz w:val="20"/>
                <w:szCs w:val="20"/>
              </w:rPr>
            </w:pPr>
          </w:p>
          <w:p w14:paraId="0BCE6C2D" w14:textId="77777777" w:rsidR="0005477D" w:rsidRPr="006E255B" w:rsidRDefault="002A00D8" w:rsidP="00DC45B2">
            <w:pPr>
              <w:pStyle w:val="Heading2"/>
              <w:spacing w:before="0" w:after="120" w:line="240" w:lineRule="auto"/>
              <w:outlineLvl w:val="1"/>
              <w:rPr>
                <w:rFonts w:ascii="Arial" w:hAnsi="Arial"/>
                <w:b/>
                <w:smallCaps w:val="0"/>
                <w:sz w:val="20"/>
              </w:rPr>
            </w:pPr>
            <w:bookmarkStart w:id="28" w:name="_Toc15022460"/>
            <w:bookmarkStart w:id="29" w:name="_Toc15030333"/>
            <w:bookmarkStart w:id="30" w:name="_Toc15313983"/>
            <w:bookmarkStart w:id="31" w:name="_Toc15314101"/>
            <w:bookmarkStart w:id="32" w:name="_Toc18311685"/>
            <w:r w:rsidRPr="006E255B">
              <w:rPr>
                <w:rFonts w:ascii="Arial" w:hAnsi="Arial" w:cs="Tahoma"/>
                <w:b/>
                <w:smallCaps w:val="0"/>
                <w:sz w:val="20"/>
                <w:szCs w:val="20"/>
              </w:rPr>
              <w:t>6</w:t>
            </w:r>
            <w:r w:rsidR="00137972" w:rsidRPr="006E255B">
              <w:rPr>
                <w:rFonts w:ascii="Arial" w:hAnsi="Arial" w:cs="Tahoma"/>
                <w:b/>
                <w:smallCaps w:val="0"/>
                <w:sz w:val="20"/>
                <w:szCs w:val="20"/>
              </w:rPr>
              <w:t xml:space="preserve">. </w:t>
            </w:r>
            <w:r w:rsidR="0005477D" w:rsidRPr="006E255B">
              <w:rPr>
                <w:rFonts w:ascii="Arial" w:hAnsi="Arial"/>
                <w:b/>
                <w:smallCaps w:val="0"/>
                <w:sz w:val="20"/>
              </w:rPr>
              <w:t xml:space="preserve">A </w:t>
            </w:r>
            <w:bookmarkEnd w:id="28"/>
            <w:r w:rsidR="00D95D33">
              <w:rPr>
                <w:rFonts w:ascii="Arial" w:hAnsi="Arial"/>
                <w:b/>
                <w:smallCaps w:val="0"/>
                <w:sz w:val="20"/>
              </w:rPr>
              <w:t xml:space="preserve">Strong Collaborative Research Agenda </w:t>
            </w:r>
            <w:r w:rsidR="005A3106">
              <w:rPr>
                <w:rFonts w:ascii="Arial" w:hAnsi="Arial"/>
                <w:b/>
                <w:smallCaps w:val="0"/>
                <w:sz w:val="20"/>
              </w:rPr>
              <w:t>Across</w:t>
            </w:r>
            <w:r w:rsidR="00D95D33">
              <w:rPr>
                <w:rFonts w:ascii="Arial" w:hAnsi="Arial"/>
                <w:b/>
                <w:smallCaps w:val="0"/>
                <w:sz w:val="20"/>
              </w:rPr>
              <w:t xml:space="preserve"> All Sectors</w:t>
            </w:r>
            <w:bookmarkEnd w:id="29"/>
            <w:bookmarkEnd w:id="30"/>
            <w:bookmarkEnd w:id="31"/>
            <w:bookmarkEnd w:id="32"/>
          </w:p>
          <w:p w14:paraId="0918AEA7" w14:textId="77777777" w:rsidR="00137972" w:rsidRPr="006E255B" w:rsidRDefault="00137972" w:rsidP="00043E04">
            <w:pPr>
              <w:rPr>
                <w:rFonts w:ascii="Arial" w:hAnsi="Arial" w:cs="Tahoma"/>
                <w:b/>
                <w:sz w:val="20"/>
                <w:szCs w:val="20"/>
              </w:rPr>
            </w:pPr>
          </w:p>
        </w:tc>
      </w:tr>
      <w:tr w:rsidR="00137972" w:rsidRPr="006E255B" w14:paraId="58FAB38D" w14:textId="77777777" w:rsidTr="009F5CA6">
        <w:trPr>
          <w:tblHeader/>
        </w:trPr>
        <w:tc>
          <w:tcPr>
            <w:tcW w:w="777" w:type="dxa"/>
            <w:vMerge/>
            <w:shd w:val="clear" w:color="auto" w:fill="F2F2F2" w:themeFill="background1" w:themeFillShade="F2"/>
          </w:tcPr>
          <w:p w14:paraId="3EFD5B57" w14:textId="77777777" w:rsidR="00137972" w:rsidRPr="006E255B" w:rsidRDefault="00137972" w:rsidP="005B3F26">
            <w:pPr>
              <w:spacing w:after="120"/>
              <w:rPr>
                <w:rFonts w:ascii="Arial" w:hAnsi="Arial" w:cs="Tahoma"/>
                <w:smallCaps/>
                <w:sz w:val="20"/>
                <w:szCs w:val="20"/>
              </w:rPr>
            </w:pPr>
          </w:p>
        </w:tc>
        <w:tc>
          <w:tcPr>
            <w:tcW w:w="8239" w:type="dxa"/>
            <w:gridSpan w:val="4"/>
            <w:shd w:val="clear" w:color="auto" w:fill="FDE9D9" w:themeFill="accent6" w:themeFillTint="33"/>
          </w:tcPr>
          <w:p w14:paraId="18A5EAF4" w14:textId="77777777" w:rsidR="00010752" w:rsidRDefault="00010752" w:rsidP="00DC45B2">
            <w:pPr>
              <w:pStyle w:val="Heading2"/>
              <w:spacing w:before="0" w:after="120" w:line="240" w:lineRule="auto"/>
              <w:outlineLvl w:val="1"/>
              <w:rPr>
                <w:rFonts w:ascii="Arial" w:hAnsi="Arial" w:cs="Tahoma"/>
                <w:b/>
                <w:smallCaps w:val="0"/>
                <w:sz w:val="20"/>
                <w:szCs w:val="20"/>
              </w:rPr>
            </w:pPr>
          </w:p>
          <w:p w14:paraId="30335E05" w14:textId="77777777" w:rsidR="0005477D" w:rsidRPr="006E255B" w:rsidRDefault="002A00D8" w:rsidP="00DC45B2">
            <w:pPr>
              <w:pStyle w:val="Heading2"/>
              <w:spacing w:before="0" w:after="120" w:line="240" w:lineRule="auto"/>
              <w:outlineLvl w:val="1"/>
              <w:rPr>
                <w:rFonts w:ascii="Arial" w:hAnsi="Arial"/>
                <w:b/>
                <w:smallCaps w:val="0"/>
                <w:sz w:val="20"/>
              </w:rPr>
            </w:pPr>
            <w:bookmarkStart w:id="33" w:name="_Toc15022461"/>
            <w:bookmarkStart w:id="34" w:name="_Toc15030334"/>
            <w:bookmarkStart w:id="35" w:name="_Toc15313984"/>
            <w:bookmarkStart w:id="36" w:name="_Toc15314102"/>
            <w:bookmarkStart w:id="37" w:name="_Toc18311686"/>
            <w:r w:rsidRPr="006E255B">
              <w:rPr>
                <w:rFonts w:ascii="Arial" w:hAnsi="Arial" w:cs="Tahoma"/>
                <w:b/>
                <w:smallCaps w:val="0"/>
                <w:sz w:val="20"/>
                <w:szCs w:val="20"/>
              </w:rPr>
              <w:t>7</w:t>
            </w:r>
            <w:r w:rsidR="00137972" w:rsidRPr="006E255B">
              <w:rPr>
                <w:rFonts w:ascii="Arial" w:hAnsi="Arial" w:cs="Tahoma"/>
                <w:b/>
                <w:smallCaps w:val="0"/>
                <w:sz w:val="20"/>
                <w:szCs w:val="20"/>
              </w:rPr>
              <w:t xml:space="preserve">. </w:t>
            </w:r>
            <w:r w:rsidR="0005477D" w:rsidRPr="006E255B">
              <w:rPr>
                <w:rFonts w:ascii="Arial" w:hAnsi="Arial"/>
                <w:b/>
                <w:smallCaps w:val="0"/>
                <w:sz w:val="20"/>
              </w:rPr>
              <w:t xml:space="preserve">Strengthen </w:t>
            </w:r>
            <w:bookmarkEnd w:id="33"/>
            <w:r w:rsidR="00D95D33">
              <w:rPr>
                <w:rFonts w:ascii="Arial" w:hAnsi="Arial"/>
                <w:b/>
                <w:smallCaps w:val="0"/>
                <w:sz w:val="20"/>
              </w:rPr>
              <w:t>Global Collaboration and Partnerships</w:t>
            </w:r>
            <w:bookmarkEnd w:id="34"/>
            <w:bookmarkEnd w:id="35"/>
            <w:bookmarkEnd w:id="36"/>
            <w:bookmarkEnd w:id="37"/>
            <w:r w:rsidR="0005477D" w:rsidRPr="006E255B">
              <w:rPr>
                <w:rFonts w:ascii="Arial" w:hAnsi="Arial"/>
                <w:b/>
                <w:smallCaps w:val="0"/>
                <w:sz w:val="20"/>
              </w:rPr>
              <w:t xml:space="preserve"> </w:t>
            </w:r>
          </w:p>
          <w:p w14:paraId="3DAAB551" w14:textId="77777777" w:rsidR="00137972" w:rsidRPr="006E255B" w:rsidRDefault="00137972" w:rsidP="00043E04">
            <w:pPr>
              <w:rPr>
                <w:rFonts w:ascii="Arial" w:hAnsi="Arial" w:cs="Tahoma"/>
                <w:b/>
                <w:sz w:val="20"/>
                <w:szCs w:val="20"/>
              </w:rPr>
            </w:pPr>
          </w:p>
        </w:tc>
      </w:tr>
    </w:tbl>
    <w:p w14:paraId="24C6FADF" w14:textId="77777777" w:rsidR="008C3900" w:rsidRPr="009F5CA6" w:rsidRDefault="008C3900" w:rsidP="00104585">
      <w:pPr>
        <w:spacing w:before="100" w:beforeAutospacing="1" w:after="100" w:afterAutospacing="1" w:line="0" w:lineRule="atLeast"/>
        <w:ind w:right="-170"/>
      </w:pPr>
      <w:bookmarkStart w:id="38" w:name="_Toc8939437"/>
      <w:r>
        <w:br w:type="page"/>
      </w:r>
    </w:p>
    <w:p w14:paraId="0092FDE7" w14:textId="77777777" w:rsidR="00777AE3" w:rsidRPr="003F2DFB" w:rsidRDefault="00777AE3" w:rsidP="003F2DFB">
      <w:pPr>
        <w:pStyle w:val="Heading2"/>
        <w:numPr>
          <w:ilvl w:val="0"/>
          <w:numId w:val="14"/>
        </w:numPr>
        <w:spacing w:before="0" w:after="120" w:line="240" w:lineRule="auto"/>
        <w:rPr>
          <w:b/>
        </w:rPr>
      </w:pPr>
      <w:bookmarkStart w:id="39" w:name="_Toc18311687"/>
      <w:r w:rsidRPr="003F2DFB">
        <w:rPr>
          <w:b/>
        </w:rPr>
        <w:lastRenderedPageBreak/>
        <w:t>C</w:t>
      </w:r>
      <w:r w:rsidR="008936A0" w:rsidRPr="003F2DFB">
        <w:rPr>
          <w:b/>
        </w:rPr>
        <w:t>lear</w:t>
      </w:r>
      <w:r w:rsidRPr="003F2DFB">
        <w:rPr>
          <w:b/>
        </w:rPr>
        <w:t xml:space="preserve"> G</w:t>
      </w:r>
      <w:r w:rsidR="008936A0" w:rsidRPr="003F2DFB">
        <w:rPr>
          <w:b/>
        </w:rPr>
        <w:t>overnance</w:t>
      </w:r>
      <w:r w:rsidRPr="003F2DFB">
        <w:rPr>
          <w:b/>
        </w:rPr>
        <w:t xml:space="preserve"> </w:t>
      </w:r>
      <w:r w:rsidR="004A34B2">
        <w:rPr>
          <w:b/>
        </w:rPr>
        <w:t>for</w:t>
      </w:r>
      <w:r w:rsidR="004A34B2" w:rsidRPr="003F2DFB">
        <w:rPr>
          <w:b/>
        </w:rPr>
        <w:t xml:space="preserve"> </w:t>
      </w:r>
      <w:r w:rsidRPr="003F2DFB">
        <w:rPr>
          <w:b/>
        </w:rPr>
        <w:t>A</w:t>
      </w:r>
      <w:r w:rsidR="008936A0" w:rsidRPr="003F2DFB">
        <w:rPr>
          <w:b/>
        </w:rPr>
        <w:t>ntimicrobial</w:t>
      </w:r>
      <w:r w:rsidRPr="003F2DFB">
        <w:rPr>
          <w:b/>
        </w:rPr>
        <w:t xml:space="preserve"> </w:t>
      </w:r>
      <w:r w:rsidR="004A34B2">
        <w:rPr>
          <w:b/>
        </w:rPr>
        <w:t>Resistance Initiatives</w:t>
      </w:r>
      <w:bookmarkEnd w:id="39"/>
      <w:r w:rsidR="004A34B2" w:rsidRPr="003F2DFB">
        <w:rPr>
          <w:b/>
        </w:rPr>
        <w:t xml:space="preserve"> </w:t>
      </w:r>
    </w:p>
    <w:p w14:paraId="222345EF" w14:textId="77777777" w:rsidR="006E76BC" w:rsidRPr="006E255B" w:rsidRDefault="00ED5ECA" w:rsidP="00E52D81">
      <w:pPr>
        <w:spacing w:after="120" w:line="240" w:lineRule="auto"/>
        <w:rPr>
          <w:rFonts w:ascii="Calibri Light" w:eastAsia="Times New Roman" w:hAnsi="Calibri Light" w:cs="Times New Roman"/>
          <w:color w:val="1F4D78"/>
          <w:sz w:val="24"/>
          <w:szCs w:val="24"/>
        </w:rPr>
      </w:pPr>
      <w:r w:rsidRPr="006E255B">
        <w:rPr>
          <w:noProof/>
          <w:lang w:eastAsia="en-AU"/>
        </w:rPr>
        <mc:AlternateContent>
          <mc:Choice Requires="wps">
            <w:drawing>
              <wp:inline distT="0" distB="0" distL="0" distR="0" wp14:anchorId="7C9216E3" wp14:editId="0B84FF13">
                <wp:extent cx="5731510" cy="2161685"/>
                <wp:effectExtent l="0" t="0" r="15240" b="26670"/>
                <wp:docPr id="2" name="Text Box 2"/>
                <wp:cNvGraphicFramePr/>
                <a:graphic xmlns:a="http://schemas.openxmlformats.org/drawingml/2006/main">
                  <a:graphicData uri="http://schemas.microsoft.com/office/word/2010/wordprocessingShape">
                    <wps:wsp>
                      <wps:cNvSpPr txBox="1"/>
                      <wps:spPr>
                        <a:xfrm>
                          <a:off x="0" y="0"/>
                          <a:ext cx="5731510" cy="2161685"/>
                        </a:xfrm>
                        <a:prstGeom prst="rect">
                          <a:avLst/>
                        </a:prstGeom>
                        <a:noFill/>
                        <a:ln w="6350">
                          <a:solidFill>
                            <a:prstClr val="black"/>
                          </a:solidFill>
                        </a:ln>
                      </wps:spPr>
                      <wps:txbx>
                        <w:txbxContent>
                          <w:p w14:paraId="24E8B3BB" w14:textId="77777777" w:rsidR="00F96E29" w:rsidRPr="00D85499" w:rsidRDefault="00F96E29" w:rsidP="00ED5ECA">
                            <w:pPr>
                              <w:spacing w:after="120" w:line="240" w:lineRule="auto"/>
                              <w:rPr>
                                <w:b/>
                              </w:rPr>
                            </w:pPr>
                            <w:r w:rsidRPr="00D85499">
                              <w:rPr>
                                <w:b/>
                              </w:rPr>
                              <w:t xml:space="preserve">Priority Areas for Action </w:t>
                            </w:r>
                          </w:p>
                          <w:p w14:paraId="0E43DF22" w14:textId="77777777" w:rsidR="00F96E29" w:rsidRPr="00D85499" w:rsidRDefault="00F96E29" w:rsidP="00ED5ECA">
                            <w:pPr>
                              <w:rPr>
                                <w:rFonts w:eastAsia="Times New Roman"/>
                              </w:rPr>
                            </w:pPr>
                            <w:r>
                              <w:rPr>
                                <w:rFonts w:eastAsia="Times New Roman" w:cs="Palatino Linotype"/>
                                <w:b/>
                                <w:bCs/>
                                <w:color w:val="939597"/>
                              </w:rPr>
                              <w:t>1.</w:t>
                            </w:r>
                            <w:r w:rsidRPr="00D85499">
                              <w:rPr>
                                <w:rFonts w:eastAsia="Times New Roman" w:cs="Palatino Linotype"/>
                                <w:b/>
                                <w:bCs/>
                                <w:color w:val="939597"/>
                              </w:rPr>
                              <w:t>1</w:t>
                            </w:r>
                            <w:r w:rsidRPr="00D85499">
                              <w:rPr>
                                <w:rFonts w:eastAsia="Times New Roman"/>
                              </w:rPr>
                              <w:t xml:space="preserve"> Create sustainable funding for </w:t>
                            </w:r>
                            <w:r>
                              <w:rPr>
                                <w:rFonts w:eastAsia="Times New Roman"/>
                              </w:rPr>
                              <w:t>combatting</w:t>
                            </w:r>
                            <w:r w:rsidRPr="00D85499">
                              <w:rPr>
                                <w:rFonts w:eastAsia="Times New Roman"/>
                              </w:rPr>
                              <w:t xml:space="preserve"> </w:t>
                            </w:r>
                            <w:r>
                              <w:rPr>
                                <w:rFonts w:eastAsia="Times New Roman"/>
                              </w:rPr>
                              <w:t>antimicrobial resistance</w:t>
                            </w:r>
                            <w:r w:rsidRPr="00D85499">
                              <w:rPr>
                                <w:rFonts w:eastAsia="Times New Roman"/>
                              </w:rPr>
                              <w:t xml:space="preserve"> based on evidence of </w:t>
                            </w:r>
                            <w:r>
                              <w:rPr>
                                <w:rFonts w:eastAsia="Times New Roman"/>
                              </w:rPr>
                              <w:t xml:space="preserve">economic and </w:t>
                            </w:r>
                            <w:r w:rsidRPr="00D85499">
                              <w:rPr>
                                <w:rFonts w:eastAsia="Times New Roman"/>
                              </w:rPr>
                              <w:t>societal costs and b</w:t>
                            </w:r>
                            <w:r>
                              <w:rPr>
                                <w:rFonts w:eastAsia="Times New Roman"/>
                              </w:rPr>
                              <w:t>enefits of different approaches</w:t>
                            </w:r>
                            <w:r w:rsidRPr="00D85499">
                              <w:rPr>
                                <w:rFonts w:eastAsia="Times New Roman"/>
                              </w:rPr>
                              <w:t xml:space="preserve"> in all sectors</w:t>
                            </w:r>
                          </w:p>
                          <w:p w14:paraId="5CD3D8CB" w14:textId="362C4484" w:rsidR="00F96E29" w:rsidRPr="00D85499" w:rsidRDefault="00F96E29" w:rsidP="00ED5ECA">
                            <w:pPr>
                              <w:rPr>
                                <w:rFonts w:eastAsia="Times New Roman"/>
                              </w:rPr>
                            </w:pPr>
                            <w:r>
                              <w:rPr>
                                <w:rFonts w:eastAsia="Times New Roman" w:cs="Palatino Linotype"/>
                                <w:b/>
                                <w:bCs/>
                                <w:color w:val="939597"/>
                              </w:rPr>
                              <w:t>1</w:t>
                            </w:r>
                            <w:r w:rsidRPr="00D85499">
                              <w:rPr>
                                <w:rFonts w:eastAsia="Times New Roman" w:cs="Palatino Linotype"/>
                                <w:b/>
                                <w:bCs/>
                                <w:color w:val="939597"/>
                              </w:rPr>
                              <w:t>.2</w:t>
                            </w:r>
                            <w:r>
                              <w:rPr>
                                <w:rFonts w:eastAsia="Times New Roman" w:cs="Palatino Linotype"/>
                                <w:b/>
                                <w:bCs/>
                                <w:color w:val="939597"/>
                              </w:rPr>
                              <w:t xml:space="preserve"> </w:t>
                            </w:r>
                            <w:r w:rsidRPr="00D85499">
                              <w:rPr>
                                <w:rFonts w:eastAsia="Times New Roman"/>
                              </w:rPr>
                              <w:t>Develop, implement and/or maintain sector</w:t>
                            </w:r>
                            <w:r>
                              <w:rPr>
                                <w:rFonts w:eastAsia="Times New Roman"/>
                              </w:rPr>
                              <w:t>-</w:t>
                            </w:r>
                            <w:r w:rsidRPr="00D85499">
                              <w:rPr>
                                <w:rFonts w:eastAsia="Times New Roman"/>
                              </w:rPr>
                              <w:t>specific action plans</w:t>
                            </w:r>
                          </w:p>
                          <w:p w14:paraId="4630BB7D" w14:textId="01EBA560" w:rsidR="00F96E29" w:rsidRPr="00D85499" w:rsidRDefault="00F96E29" w:rsidP="00ED5ECA">
                            <w:pPr>
                              <w:rPr>
                                <w:rFonts w:eastAsia="Times New Roman"/>
                              </w:rPr>
                            </w:pPr>
                            <w:r>
                              <w:rPr>
                                <w:rFonts w:eastAsia="Times New Roman" w:cs="Palatino Linotype"/>
                                <w:b/>
                                <w:bCs/>
                                <w:color w:val="939597"/>
                              </w:rPr>
                              <w:t>1</w:t>
                            </w:r>
                            <w:r w:rsidRPr="00D85499">
                              <w:rPr>
                                <w:rFonts w:eastAsia="Times New Roman" w:cs="Palatino Linotype"/>
                                <w:b/>
                                <w:bCs/>
                                <w:color w:val="939597"/>
                              </w:rPr>
                              <w:t>.3</w:t>
                            </w:r>
                            <w:r w:rsidRPr="00D85499">
                              <w:rPr>
                                <w:rFonts w:eastAsia="Times New Roman"/>
                              </w:rPr>
                              <w:t xml:space="preserve"> Maintain and expand linkages and opportunities between stakeholders across all sectors to provide a nationally coordinated approach to combatting </w:t>
                            </w:r>
                            <w:r>
                              <w:rPr>
                                <w:rFonts w:eastAsia="Times New Roman"/>
                              </w:rPr>
                              <w:t>antimicrobial resistance</w:t>
                            </w:r>
                          </w:p>
                          <w:p w14:paraId="569578C9" w14:textId="77777777" w:rsidR="00F96E29" w:rsidRPr="007F5E0D" w:rsidRDefault="00F96E29" w:rsidP="00ED5ECA">
                            <w:pPr>
                              <w:rPr>
                                <w:rFonts w:eastAsia="Times New Roman" w:cs="Palatino Linotype"/>
                                <w:b/>
                                <w:bCs/>
                                <w:color w:val="939597"/>
                              </w:rPr>
                            </w:pPr>
                            <w:r>
                              <w:rPr>
                                <w:rFonts w:eastAsia="Times New Roman" w:cs="Palatino Linotype"/>
                                <w:b/>
                                <w:bCs/>
                                <w:color w:val="939597"/>
                              </w:rPr>
                              <w:t>1</w:t>
                            </w:r>
                            <w:r w:rsidRPr="00D85499">
                              <w:rPr>
                                <w:rFonts w:eastAsia="Times New Roman" w:cs="Palatino Linotype"/>
                                <w:b/>
                                <w:bCs/>
                                <w:color w:val="939597"/>
                              </w:rPr>
                              <w:t>.</w:t>
                            </w:r>
                            <w:r>
                              <w:rPr>
                                <w:rFonts w:eastAsia="Times New Roman" w:cs="Palatino Linotype"/>
                                <w:b/>
                                <w:bCs/>
                                <w:color w:val="939597"/>
                              </w:rPr>
                              <w:t>4</w:t>
                            </w:r>
                            <w:r w:rsidRPr="00D85499">
                              <w:rPr>
                                <w:rFonts w:eastAsia="Times New Roman"/>
                              </w:rPr>
                              <w:t xml:space="preserve"> </w:t>
                            </w:r>
                            <w:r>
                              <w:rPr>
                                <w:rFonts w:eastAsia="Times New Roman"/>
                              </w:rPr>
                              <w:t>M</w:t>
                            </w:r>
                            <w:r w:rsidRPr="00D85499">
                              <w:rPr>
                                <w:rFonts w:eastAsia="Times New Roman"/>
                              </w:rPr>
                              <w:t xml:space="preserve">onitor and review regulatory measures (legislated and other) relevant to antimicrobial usage and resistance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C9216E3" id="Text Box 2" o:spid="_x0000_s1028" type="#_x0000_t202" style="width:451.3pt;height:170.2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" filled="f" strokeweight=".5pt">
                <v:textbox style="mso-fit-shape-to-text:t">
                  <w:txbxContent>
                    <w:p w14:paraId="24E8B3BB" w14:textId="77777777" w:rsidR="00F96E29" w:rsidRPr="00D85499" w:rsidRDefault="00F96E29" w:rsidP="00ED5ECA">
                      <w:pPr>
                        <w:spacing w:after="120" w:line="240" w:lineRule="auto"/>
                        <w:rPr>
                          <w:b/>
                        </w:rPr>
                      </w:pPr>
                      <w:r w:rsidRPr="00D85499">
                        <w:rPr>
                          <w:b/>
                        </w:rPr>
                        <w:t xml:space="preserve">Priority Areas for Action </w:t>
                      </w:r>
                    </w:p>
                    <w:p w14:paraId="0E43DF22" w14:textId="77777777" w:rsidR="00F96E29" w:rsidRPr="00D85499" w:rsidRDefault="00F96E29" w:rsidP="00ED5ECA">
                      <w:pPr>
                        <w:rPr>
                          <w:rFonts w:eastAsia="Times New Roman"/>
                        </w:rPr>
                      </w:pPr>
                      <w:r>
                        <w:rPr>
                          <w:rFonts w:eastAsia="Times New Roman" w:cs="Palatino Linotype"/>
                          <w:b/>
                          <w:bCs/>
                          <w:color w:val="939597"/>
                        </w:rPr>
                        <w:t>1.</w:t>
                      </w:r>
                      <w:r w:rsidRPr="00D85499">
                        <w:rPr>
                          <w:rFonts w:eastAsia="Times New Roman" w:cs="Palatino Linotype"/>
                          <w:b/>
                          <w:bCs/>
                          <w:color w:val="939597"/>
                        </w:rPr>
                        <w:t>1</w:t>
                      </w:r>
                      <w:r w:rsidRPr="00D85499">
                        <w:rPr>
                          <w:rFonts w:eastAsia="Times New Roman"/>
                        </w:rPr>
                        <w:t xml:space="preserve"> Create sustainable funding for </w:t>
                      </w:r>
                      <w:r>
                        <w:rPr>
                          <w:rFonts w:eastAsia="Times New Roman"/>
                        </w:rPr>
                        <w:t>combatting</w:t>
                      </w:r>
                      <w:r w:rsidRPr="00D85499">
                        <w:rPr>
                          <w:rFonts w:eastAsia="Times New Roman"/>
                        </w:rPr>
                        <w:t xml:space="preserve"> </w:t>
                      </w:r>
                      <w:r>
                        <w:rPr>
                          <w:rFonts w:eastAsia="Times New Roman"/>
                        </w:rPr>
                        <w:t>antimicrobial resistance</w:t>
                      </w:r>
                      <w:r w:rsidRPr="00D85499">
                        <w:rPr>
                          <w:rFonts w:eastAsia="Times New Roman"/>
                        </w:rPr>
                        <w:t xml:space="preserve"> based on evidence of </w:t>
                      </w:r>
                      <w:r>
                        <w:rPr>
                          <w:rFonts w:eastAsia="Times New Roman"/>
                        </w:rPr>
                        <w:t xml:space="preserve">economic and </w:t>
                      </w:r>
                      <w:r w:rsidRPr="00D85499">
                        <w:rPr>
                          <w:rFonts w:eastAsia="Times New Roman"/>
                        </w:rPr>
                        <w:t>societal costs and b</w:t>
                      </w:r>
                      <w:r>
                        <w:rPr>
                          <w:rFonts w:eastAsia="Times New Roman"/>
                        </w:rPr>
                        <w:t>enefits of different approaches</w:t>
                      </w:r>
                      <w:r w:rsidRPr="00D85499">
                        <w:rPr>
                          <w:rFonts w:eastAsia="Times New Roman"/>
                        </w:rPr>
                        <w:t xml:space="preserve"> in all sectors</w:t>
                      </w:r>
                    </w:p>
                    <w:p w14:paraId="5CD3D8CB" w14:textId="362C4484" w:rsidR="00F96E29" w:rsidRPr="00D85499" w:rsidRDefault="00F96E29" w:rsidP="00ED5ECA">
                      <w:pPr>
                        <w:rPr>
                          <w:rFonts w:eastAsia="Times New Roman"/>
                        </w:rPr>
                      </w:pPr>
                      <w:r>
                        <w:rPr>
                          <w:rFonts w:eastAsia="Times New Roman" w:cs="Palatino Linotype"/>
                          <w:b/>
                          <w:bCs/>
                          <w:color w:val="939597"/>
                        </w:rPr>
                        <w:t>1</w:t>
                      </w:r>
                      <w:r w:rsidRPr="00D85499">
                        <w:rPr>
                          <w:rFonts w:eastAsia="Times New Roman" w:cs="Palatino Linotype"/>
                          <w:b/>
                          <w:bCs/>
                          <w:color w:val="939597"/>
                        </w:rPr>
                        <w:t>.2</w:t>
                      </w:r>
                      <w:r>
                        <w:rPr>
                          <w:rFonts w:eastAsia="Times New Roman" w:cs="Palatino Linotype"/>
                          <w:b/>
                          <w:bCs/>
                          <w:color w:val="939597"/>
                        </w:rPr>
                        <w:t xml:space="preserve"> </w:t>
                      </w:r>
                      <w:r w:rsidRPr="00D85499">
                        <w:rPr>
                          <w:rFonts w:eastAsia="Times New Roman"/>
                        </w:rPr>
                        <w:t>Develop, implement and/or maintain sector</w:t>
                      </w:r>
                      <w:r>
                        <w:rPr>
                          <w:rFonts w:eastAsia="Times New Roman"/>
                        </w:rPr>
                        <w:t>-</w:t>
                      </w:r>
                      <w:r w:rsidRPr="00D85499">
                        <w:rPr>
                          <w:rFonts w:eastAsia="Times New Roman"/>
                        </w:rPr>
                        <w:t>specific action plans</w:t>
                      </w:r>
                    </w:p>
                    <w:p w14:paraId="4630BB7D" w14:textId="01EBA560" w:rsidR="00F96E29" w:rsidRPr="00D85499" w:rsidRDefault="00F96E29" w:rsidP="00ED5ECA">
                      <w:pPr>
                        <w:rPr>
                          <w:rFonts w:eastAsia="Times New Roman"/>
                        </w:rPr>
                      </w:pPr>
                      <w:r>
                        <w:rPr>
                          <w:rFonts w:eastAsia="Times New Roman" w:cs="Palatino Linotype"/>
                          <w:b/>
                          <w:bCs/>
                          <w:color w:val="939597"/>
                        </w:rPr>
                        <w:t>1</w:t>
                      </w:r>
                      <w:r w:rsidRPr="00D85499">
                        <w:rPr>
                          <w:rFonts w:eastAsia="Times New Roman" w:cs="Palatino Linotype"/>
                          <w:b/>
                          <w:bCs/>
                          <w:color w:val="939597"/>
                        </w:rPr>
                        <w:t>.3</w:t>
                      </w:r>
                      <w:r w:rsidRPr="00D85499">
                        <w:rPr>
                          <w:rFonts w:eastAsia="Times New Roman"/>
                        </w:rPr>
                        <w:t xml:space="preserve"> Maintain and expand linkages and opportunities between stakeholders across all sectors to provide a nationally coordinated approach to combatting </w:t>
                      </w:r>
                      <w:r>
                        <w:rPr>
                          <w:rFonts w:eastAsia="Times New Roman"/>
                        </w:rPr>
                        <w:t>antimicrobial resistance</w:t>
                      </w:r>
                    </w:p>
                    <w:p w14:paraId="569578C9" w14:textId="77777777" w:rsidR="00F96E29" w:rsidRPr="007F5E0D" w:rsidRDefault="00F96E29" w:rsidP="00ED5ECA">
                      <w:pPr>
                        <w:rPr>
                          <w:rFonts w:eastAsia="Times New Roman" w:cs="Palatino Linotype"/>
                          <w:b/>
                          <w:bCs/>
                          <w:color w:val="939597"/>
                        </w:rPr>
                      </w:pPr>
                      <w:r>
                        <w:rPr>
                          <w:rFonts w:eastAsia="Times New Roman" w:cs="Palatino Linotype"/>
                          <w:b/>
                          <w:bCs/>
                          <w:color w:val="939597"/>
                        </w:rPr>
                        <w:t>1</w:t>
                      </w:r>
                      <w:r w:rsidRPr="00D85499">
                        <w:rPr>
                          <w:rFonts w:eastAsia="Times New Roman" w:cs="Palatino Linotype"/>
                          <w:b/>
                          <w:bCs/>
                          <w:color w:val="939597"/>
                        </w:rPr>
                        <w:t>.</w:t>
                      </w:r>
                      <w:r>
                        <w:rPr>
                          <w:rFonts w:eastAsia="Times New Roman" w:cs="Palatino Linotype"/>
                          <w:b/>
                          <w:bCs/>
                          <w:color w:val="939597"/>
                        </w:rPr>
                        <w:t>4</w:t>
                      </w:r>
                      <w:r w:rsidRPr="00D85499">
                        <w:rPr>
                          <w:rFonts w:eastAsia="Times New Roman"/>
                        </w:rPr>
                        <w:t xml:space="preserve"> </w:t>
                      </w:r>
                      <w:r>
                        <w:rPr>
                          <w:rFonts w:eastAsia="Times New Roman"/>
                        </w:rPr>
                        <w:t>M</w:t>
                      </w:r>
                      <w:r w:rsidRPr="00D85499">
                        <w:rPr>
                          <w:rFonts w:eastAsia="Times New Roman"/>
                        </w:rPr>
                        <w:t xml:space="preserve">onitor and review regulatory measures (legislated and other) relevant to antimicrobial usage and resistance </w:t>
                      </w:r>
                    </w:p>
                  </w:txbxContent>
                </v:textbox>
                <w10:anchorlock/>
              </v:shape>
            </w:pict>
          </mc:Fallback>
        </mc:AlternateContent>
      </w:r>
    </w:p>
    <w:p w14:paraId="3E3EB273" w14:textId="77777777" w:rsidR="001C4387" w:rsidRPr="006E255B" w:rsidRDefault="008B4013" w:rsidP="00E52D81">
      <w:pPr>
        <w:spacing w:after="120" w:line="240" w:lineRule="auto"/>
        <w:rPr>
          <w:rFonts w:ascii="Calibri Light" w:eastAsia="Times New Roman" w:hAnsi="Calibri Light" w:cs="Times New Roman"/>
          <w:color w:val="1F4D78"/>
          <w:sz w:val="24"/>
          <w:szCs w:val="24"/>
        </w:rPr>
      </w:pPr>
      <w:r w:rsidRPr="006E255B">
        <w:rPr>
          <w:rFonts w:ascii="Calibri Light" w:hAnsi="Calibri Light" w:cs="Calibri Light"/>
        </w:rPr>
        <w:t>Australia</w:t>
      </w:r>
      <w:r w:rsidR="000D6475">
        <w:rPr>
          <w:rFonts w:ascii="Calibri Light" w:hAnsi="Calibri Light" w:cs="Calibri Light"/>
        </w:rPr>
        <w:t>’</w:t>
      </w:r>
      <w:r w:rsidRPr="006E255B">
        <w:rPr>
          <w:rFonts w:ascii="Calibri Light" w:hAnsi="Calibri Light" w:cs="Calibri Light"/>
        </w:rPr>
        <w:t>s national antimicrobial resistance</w:t>
      </w:r>
      <w:r w:rsidR="00E52D81" w:rsidRPr="006E255B">
        <w:rPr>
          <w:rFonts w:ascii="Calibri Light" w:hAnsi="Calibri Light" w:cs="Calibri Light"/>
        </w:rPr>
        <w:t xml:space="preserve"> governance arrangements reflect a shared responsibility between health, agriculture and environment portfolios. </w:t>
      </w:r>
    </w:p>
    <w:p w14:paraId="0650B5D8" w14:textId="77777777" w:rsidR="00E52D81" w:rsidRPr="006E255B" w:rsidRDefault="001C4387" w:rsidP="00E52D81">
      <w:pPr>
        <w:spacing w:after="120" w:line="240" w:lineRule="auto"/>
        <w:rPr>
          <w:rFonts w:ascii="Calibri Light" w:hAnsi="Calibri Light" w:cs="Calibri Light"/>
        </w:rPr>
      </w:pPr>
      <w:r w:rsidRPr="006E255B">
        <w:rPr>
          <w:rFonts w:ascii="Calibri Light" w:hAnsi="Calibri Light" w:cs="Calibri Light"/>
        </w:rPr>
        <w:t xml:space="preserve">Only through a shared responsibility </w:t>
      </w:r>
      <w:r w:rsidR="00DD7AEB">
        <w:rPr>
          <w:rFonts w:ascii="Calibri Light" w:hAnsi="Calibri Light" w:cs="Calibri Light"/>
        </w:rPr>
        <w:t>in</w:t>
      </w:r>
      <w:r w:rsidR="009E07CA" w:rsidRPr="006E255B">
        <w:rPr>
          <w:rFonts w:ascii="Calibri Light" w:hAnsi="Calibri Light" w:cs="Calibri Light"/>
        </w:rPr>
        <w:t xml:space="preserve"> the </w:t>
      </w:r>
      <w:r w:rsidRPr="006E255B">
        <w:rPr>
          <w:rFonts w:ascii="Calibri Light" w:hAnsi="Calibri Light" w:cs="Calibri Light"/>
        </w:rPr>
        <w:t xml:space="preserve">health, agriculture and environment portfolios </w:t>
      </w:r>
      <w:r w:rsidR="009E07CA" w:rsidRPr="006E255B">
        <w:rPr>
          <w:rFonts w:ascii="Calibri Light" w:hAnsi="Calibri Light" w:cs="Calibri Light"/>
        </w:rPr>
        <w:t xml:space="preserve">across all jurisdictions </w:t>
      </w:r>
      <w:r w:rsidRPr="006E255B">
        <w:rPr>
          <w:rFonts w:ascii="Calibri Light" w:hAnsi="Calibri Light" w:cs="Calibri Light"/>
        </w:rPr>
        <w:t xml:space="preserve">can a national antimicrobial resistance </w:t>
      </w:r>
      <w:r w:rsidR="009E07CA" w:rsidRPr="006E255B">
        <w:rPr>
          <w:rFonts w:ascii="Calibri Light" w:hAnsi="Calibri Light" w:cs="Calibri Light"/>
        </w:rPr>
        <w:t xml:space="preserve">effort succeed. </w:t>
      </w:r>
      <w:r w:rsidR="00E52D81" w:rsidRPr="006E255B">
        <w:rPr>
          <w:rFonts w:ascii="Calibri Light" w:hAnsi="Calibri Light" w:cs="Calibri Light"/>
        </w:rPr>
        <w:t xml:space="preserve">The Council of Australian Governments (COAG) </w:t>
      </w:r>
      <w:r w:rsidR="009E07CA" w:rsidRPr="006E255B">
        <w:rPr>
          <w:rFonts w:ascii="Calibri Light" w:hAnsi="Calibri Light" w:cs="Calibri Light"/>
        </w:rPr>
        <w:t xml:space="preserve">has </w:t>
      </w:r>
      <w:r w:rsidR="00E52D81" w:rsidRPr="006E255B">
        <w:rPr>
          <w:rFonts w:ascii="Calibri Light" w:hAnsi="Calibri Light" w:cs="Calibri Light"/>
        </w:rPr>
        <w:t xml:space="preserve">provided endorsement of </w:t>
      </w:r>
      <w:r w:rsidR="00E52D81" w:rsidRPr="006E255B">
        <w:rPr>
          <w:rFonts w:ascii="Calibri Light" w:hAnsi="Calibri Light" w:cs="Calibri Light"/>
          <w:i/>
        </w:rPr>
        <w:t>Australia</w:t>
      </w:r>
      <w:r w:rsidR="000D6475">
        <w:rPr>
          <w:rFonts w:ascii="Calibri Light" w:hAnsi="Calibri Light" w:cs="Calibri Light"/>
          <w:i/>
        </w:rPr>
        <w:t>’</w:t>
      </w:r>
      <w:r w:rsidR="00E52D81" w:rsidRPr="006E255B">
        <w:rPr>
          <w:rFonts w:ascii="Calibri Light" w:hAnsi="Calibri Light" w:cs="Calibri Light"/>
          <w:i/>
        </w:rPr>
        <w:t>s National Antimicrobial Strategy – 2020 and Beyond</w:t>
      </w:r>
      <w:r w:rsidR="00E52D81" w:rsidRPr="006E255B">
        <w:rPr>
          <w:rFonts w:ascii="Calibri Light" w:hAnsi="Calibri Light" w:cs="Calibri Light"/>
        </w:rPr>
        <w:t xml:space="preserve">, demonstrating the high priority placed on responding to the threat of </w:t>
      </w:r>
      <w:r w:rsidR="008B4013" w:rsidRPr="006E255B">
        <w:rPr>
          <w:rFonts w:ascii="Calibri Light" w:hAnsi="Calibri Light" w:cs="Calibri Light"/>
        </w:rPr>
        <w:t>antimicrobial resistance</w:t>
      </w:r>
      <w:r w:rsidR="00E52D81" w:rsidRPr="006E255B">
        <w:rPr>
          <w:rFonts w:ascii="Calibri Light" w:hAnsi="Calibri Light" w:cs="Calibri Light"/>
        </w:rPr>
        <w:t xml:space="preserve">. </w:t>
      </w:r>
      <w:r w:rsidR="00983D46" w:rsidRPr="006E255B">
        <w:rPr>
          <w:rFonts w:ascii="Calibri Light" w:hAnsi="Calibri Light" w:cs="Calibri Light"/>
        </w:rPr>
        <w:t>Existing</w:t>
      </w:r>
      <w:r w:rsidR="00E52D81" w:rsidRPr="006E255B">
        <w:rPr>
          <w:rFonts w:ascii="Calibri Light" w:hAnsi="Calibri Light" w:cs="Calibri Light"/>
        </w:rPr>
        <w:t xml:space="preserve"> </w:t>
      </w:r>
      <w:r w:rsidR="00983D46" w:rsidRPr="006E255B">
        <w:rPr>
          <w:rFonts w:ascii="Calibri Light" w:hAnsi="Calibri Light" w:cs="Calibri Light"/>
        </w:rPr>
        <w:t xml:space="preserve">COAG </w:t>
      </w:r>
      <w:r w:rsidR="00E52D81" w:rsidRPr="006E255B">
        <w:rPr>
          <w:rFonts w:ascii="Calibri Light" w:hAnsi="Calibri Light" w:cs="Calibri Light"/>
        </w:rPr>
        <w:t xml:space="preserve">governance arrangements </w:t>
      </w:r>
      <w:r w:rsidR="00983D46" w:rsidRPr="006E255B">
        <w:rPr>
          <w:rFonts w:ascii="Calibri Light" w:hAnsi="Calibri Light" w:cs="Calibri Light"/>
        </w:rPr>
        <w:t>for its</w:t>
      </w:r>
      <w:r w:rsidR="00E52D81" w:rsidRPr="006E255B">
        <w:rPr>
          <w:rFonts w:ascii="Calibri Light" w:hAnsi="Calibri Light" w:cs="Calibri Light"/>
        </w:rPr>
        <w:t xml:space="preserve"> health, agriculture and enviro</w:t>
      </w:r>
      <w:r w:rsidR="008B4013" w:rsidRPr="006E255B">
        <w:rPr>
          <w:rFonts w:ascii="Calibri Light" w:hAnsi="Calibri Light" w:cs="Calibri Light"/>
        </w:rPr>
        <w:t xml:space="preserve">nment sub-committees </w:t>
      </w:r>
      <w:r w:rsidR="00983D46" w:rsidRPr="006E255B">
        <w:rPr>
          <w:rFonts w:ascii="Calibri Light" w:hAnsi="Calibri Light" w:cs="Calibri Light"/>
        </w:rPr>
        <w:t xml:space="preserve">allow the </w:t>
      </w:r>
      <w:r w:rsidR="0022358F" w:rsidRPr="006E255B">
        <w:rPr>
          <w:rFonts w:ascii="Calibri Light" w:hAnsi="Calibri Light" w:cs="Calibri Light"/>
        </w:rPr>
        <w:t>creation</w:t>
      </w:r>
      <w:r w:rsidR="00983D46" w:rsidRPr="006E255B">
        <w:rPr>
          <w:rFonts w:ascii="Calibri Light" w:hAnsi="Calibri Light" w:cs="Calibri Light"/>
        </w:rPr>
        <w:t xml:space="preserve"> of</w:t>
      </w:r>
      <w:r w:rsidR="008B4013" w:rsidRPr="006E255B">
        <w:rPr>
          <w:rFonts w:ascii="Calibri Light" w:hAnsi="Calibri Light" w:cs="Calibri Light"/>
        </w:rPr>
        <w:t xml:space="preserve"> a </w:t>
      </w:r>
      <w:r w:rsidR="00E52D81" w:rsidRPr="006E255B">
        <w:rPr>
          <w:rFonts w:ascii="Calibri Light" w:hAnsi="Calibri Light" w:cs="Calibri Light"/>
        </w:rPr>
        <w:t>One Heal</w:t>
      </w:r>
      <w:r w:rsidR="008B4013" w:rsidRPr="006E255B">
        <w:rPr>
          <w:rFonts w:ascii="Calibri Light" w:hAnsi="Calibri Light" w:cs="Calibri Light"/>
        </w:rPr>
        <w:t>th approach to national antimicrobial resistance</w:t>
      </w:r>
      <w:r w:rsidR="00E52D81" w:rsidRPr="006E255B">
        <w:rPr>
          <w:rFonts w:ascii="Calibri Light" w:hAnsi="Calibri Light" w:cs="Calibri Light"/>
        </w:rPr>
        <w:t xml:space="preserve"> policy built on collaborative partnerships between portfolios.</w:t>
      </w:r>
    </w:p>
    <w:p w14:paraId="615CC2FC" w14:textId="60C52955" w:rsidR="00E52D81" w:rsidRPr="006E255B" w:rsidRDefault="00E52D81" w:rsidP="00E52D81">
      <w:pPr>
        <w:spacing w:after="120" w:line="240" w:lineRule="auto"/>
        <w:rPr>
          <w:rFonts w:ascii="Calibri Light" w:hAnsi="Calibri Light" w:cs="Calibri Light"/>
        </w:rPr>
      </w:pPr>
      <w:r w:rsidRPr="006E255B">
        <w:rPr>
          <w:rFonts w:ascii="Calibri Light" w:hAnsi="Calibri Light" w:cs="Calibri Light"/>
        </w:rPr>
        <w:t>The Antimicrobial Resistance Governance Group</w:t>
      </w:r>
      <w:r w:rsidR="001D3F65" w:rsidRPr="006E255B">
        <w:rPr>
          <w:rFonts w:ascii="Calibri Light" w:hAnsi="Calibri Light" w:cs="Calibri Light"/>
        </w:rPr>
        <w:t xml:space="preserve"> (ARGG)</w:t>
      </w:r>
      <w:r w:rsidRPr="006E255B">
        <w:rPr>
          <w:rFonts w:ascii="Calibri Light" w:hAnsi="Calibri Light" w:cs="Calibri Light"/>
        </w:rPr>
        <w:t xml:space="preserve">, which includes </w:t>
      </w:r>
      <w:r w:rsidR="001B433D">
        <w:rPr>
          <w:rFonts w:ascii="Calibri Light" w:hAnsi="Calibri Light" w:cs="Calibri Light"/>
        </w:rPr>
        <w:t xml:space="preserve">the </w:t>
      </w:r>
      <w:r w:rsidRPr="006E255B">
        <w:rPr>
          <w:rFonts w:ascii="Calibri Light" w:hAnsi="Calibri Light" w:cs="Calibri Light"/>
        </w:rPr>
        <w:t xml:space="preserve">membership of the Australian Government Chief Medical Officer and the Australian Chief Veterinary Officer, will provide national coordination and linkage between sectors. </w:t>
      </w:r>
      <w:r w:rsidR="0022358F" w:rsidRPr="006E255B">
        <w:rPr>
          <w:rFonts w:ascii="Calibri Light" w:hAnsi="Calibri Light" w:cs="Calibri Light"/>
        </w:rPr>
        <w:t>Their shared coordination of this Strategy</w:t>
      </w:r>
      <w:r w:rsidR="000D6475">
        <w:rPr>
          <w:rFonts w:ascii="Calibri Light" w:hAnsi="Calibri Light" w:cs="Calibri Light"/>
        </w:rPr>
        <w:t>’</w:t>
      </w:r>
      <w:r w:rsidR="0022358F" w:rsidRPr="006E255B">
        <w:rPr>
          <w:rFonts w:ascii="Calibri Light" w:hAnsi="Calibri Light" w:cs="Calibri Light"/>
        </w:rPr>
        <w:t xml:space="preserve">s </w:t>
      </w:r>
      <w:r w:rsidRPr="006E255B">
        <w:rPr>
          <w:rFonts w:ascii="Calibri Light" w:hAnsi="Calibri Light" w:cs="Calibri Light"/>
        </w:rPr>
        <w:t xml:space="preserve">implementation will </w:t>
      </w:r>
      <w:r w:rsidR="0022358F" w:rsidRPr="006E255B">
        <w:rPr>
          <w:rFonts w:ascii="Calibri Light" w:hAnsi="Calibri Light" w:cs="Calibri Light"/>
        </w:rPr>
        <w:t xml:space="preserve">best </w:t>
      </w:r>
      <w:r w:rsidRPr="006E255B">
        <w:rPr>
          <w:rFonts w:ascii="Calibri Light" w:hAnsi="Calibri Light" w:cs="Calibri Light"/>
        </w:rPr>
        <w:t>e</w:t>
      </w:r>
      <w:r w:rsidR="008B4013" w:rsidRPr="006E255B">
        <w:rPr>
          <w:rFonts w:ascii="Calibri Light" w:hAnsi="Calibri Light" w:cs="Calibri Light"/>
        </w:rPr>
        <w:t>nsure efforts to respond to antimicrobial resistance</w:t>
      </w:r>
      <w:r w:rsidRPr="006E255B">
        <w:rPr>
          <w:rFonts w:ascii="Calibri Light" w:hAnsi="Calibri Light" w:cs="Calibri Light"/>
        </w:rPr>
        <w:t xml:space="preserve"> are effective. </w:t>
      </w:r>
    </w:p>
    <w:p w14:paraId="3EB11B22" w14:textId="77777777" w:rsidR="00E52D81" w:rsidRPr="006E255B" w:rsidRDefault="00E52D81" w:rsidP="00E52D81">
      <w:pPr>
        <w:spacing w:after="120" w:line="240" w:lineRule="auto"/>
        <w:rPr>
          <w:rFonts w:ascii="Calibri Light" w:hAnsi="Calibri Light" w:cs="Calibri Light"/>
        </w:rPr>
      </w:pPr>
      <w:r w:rsidRPr="006E255B">
        <w:rPr>
          <w:rFonts w:ascii="Calibri Light" w:hAnsi="Calibri Light" w:cs="Calibri Light"/>
        </w:rPr>
        <w:t xml:space="preserve">The Australian Strategic and Technical Advisory Group on AMR (ASTAG) will provide expert advice </w:t>
      </w:r>
      <w:r w:rsidR="0041523A">
        <w:rPr>
          <w:rFonts w:ascii="Calibri Light" w:hAnsi="Calibri Light" w:cs="Calibri Light"/>
        </w:rPr>
        <w:t>to</w:t>
      </w:r>
      <w:r w:rsidR="001D3F65" w:rsidRPr="006E255B">
        <w:rPr>
          <w:rFonts w:ascii="Calibri Light" w:hAnsi="Calibri Light" w:cs="Calibri Light"/>
        </w:rPr>
        <w:t xml:space="preserve"> </w:t>
      </w:r>
      <w:r w:rsidR="0041523A">
        <w:rPr>
          <w:rFonts w:ascii="Calibri Light" w:hAnsi="Calibri Light" w:cs="Calibri Light"/>
        </w:rPr>
        <w:t xml:space="preserve">the </w:t>
      </w:r>
      <w:r w:rsidR="001D3F65" w:rsidRPr="006E255B">
        <w:rPr>
          <w:rFonts w:ascii="Calibri Light" w:hAnsi="Calibri Light" w:cs="Calibri Light"/>
        </w:rPr>
        <w:t xml:space="preserve">ARGG </w:t>
      </w:r>
      <w:r w:rsidRPr="006E255B">
        <w:rPr>
          <w:rFonts w:ascii="Calibri Light" w:hAnsi="Calibri Light" w:cs="Calibri Light"/>
        </w:rPr>
        <w:t>on current and emerging issues, research priorities and implementation approaches to support the Strategy. Through its membership, ASTAG will continue to strengthen linkages between governments, industry, professional bodies and other key stakeholders to support a comprehensive and sustainable One Health response to antimicrobial resistance.</w:t>
      </w:r>
    </w:p>
    <w:p w14:paraId="2B6ABC2C" w14:textId="77777777" w:rsidR="00E52D81" w:rsidRPr="006E255B" w:rsidRDefault="00E52D81" w:rsidP="00E52D81">
      <w:pPr>
        <w:spacing w:after="120" w:line="240" w:lineRule="auto"/>
        <w:rPr>
          <w:rFonts w:ascii="Calibri Light" w:hAnsi="Calibri Light" w:cs="Calibri Light"/>
        </w:rPr>
      </w:pPr>
      <w:r w:rsidRPr="006E255B">
        <w:rPr>
          <w:rFonts w:ascii="Calibri Light" w:hAnsi="Calibri Light" w:cs="Calibri Light"/>
        </w:rPr>
        <w:t xml:space="preserve">In addition to national governance, all parts of </w:t>
      </w:r>
      <w:r w:rsidR="008643DA" w:rsidRPr="006E255B">
        <w:rPr>
          <w:rFonts w:ascii="Calibri Light" w:hAnsi="Calibri Light" w:cs="Calibri Light"/>
        </w:rPr>
        <w:t>Australia</w:t>
      </w:r>
      <w:r w:rsidR="000D6475">
        <w:rPr>
          <w:rFonts w:ascii="Calibri Light" w:hAnsi="Calibri Light" w:cs="Calibri Light"/>
        </w:rPr>
        <w:t>’</w:t>
      </w:r>
      <w:r w:rsidR="008643DA" w:rsidRPr="006E255B">
        <w:rPr>
          <w:rFonts w:ascii="Calibri Light" w:hAnsi="Calibri Light" w:cs="Calibri Light"/>
        </w:rPr>
        <w:t xml:space="preserve">s </w:t>
      </w:r>
      <w:r w:rsidRPr="006E255B">
        <w:rPr>
          <w:rFonts w:ascii="Calibri Light" w:hAnsi="Calibri Light" w:cs="Calibri Light"/>
        </w:rPr>
        <w:t xml:space="preserve">public and private sectors </w:t>
      </w:r>
      <w:r w:rsidR="00240228" w:rsidRPr="006E255B">
        <w:rPr>
          <w:rFonts w:ascii="Calibri Light" w:hAnsi="Calibri Light" w:cs="Calibri Light"/>
        </w:rPr>
        <w:t xml:space="preserve">– </w:t>
      </w:r>
      <w:r w:rsidRPr="006E255B">
        <w:rPr>
          <w:rFonts w:ascii="Calibri Light" w:hAnsi="Calibri Light" w:cs="Calibri Light"/>
        </w:rPr>
        <w:t xml:space="preserve">such as business owners, hospitals and industry </w:t>
      </w:r>
      <w:r w:rsidR="00240228" w:rsidRPr="006E255B">
        <w:rPr>
          <w:rFonts w:ascii="Calibri Light" w:hAnsi="Calibri Light" w:cs="Calibri Light"/>
        </w:rPr>
        <w:t>– will be</w:t>
      </w:r>
      <w:r w:rsidRPr="006E255B">
        <w:rPr>
          <w:rFonts w:ascii="Calibri Light" w:hAnsi="Calibri Light" w:cs="Calibri Light"/>
        </w:rPr>
        <w:t xml:space="preserve"> encouraged to </w:t>
      </w:r>
      <w:r w:rsidR="008B4013" w:rsidRPr="006E255B">
        <w:rPr>
          <w:rFonts w:ascii="Calibri Light" w:hAnsi="Calibri Light" w:cs="Calibri Light"/>
        </w:rPr>
        <w:t xml:space="preserve">establish </w:t>
      </w:r>
      <w:r w:rsidR="00240228" w:rsidRPr="006E255B">
        <w:rPr>
          <w:rFonts w:ascii="Calibri Light" w:hAnsi="Calibri Light" w:cs="Calibri Light"/>
        </w:rPr>
        <w:t xml:space="preserve">or review </w:t>
      </w:r>
      <w:r w:rsidR="008B4013" w:rsidRPr="006E255B">
        <w:rPr>
          <w:rFonts w:ascii="Calibri Light" w:hAnsi="Calibri Light" w:cs="Calibri Light"/>
        </w:rPr>
        <w:t xml:space="preserve">their own governance arrangements </w:t>
      </w:r>
      <w:r w:rsidR="00240228" w:rsidRPr="006E255B">
        <w:rPr>
          <w:rFonts w:ascii="Calibri Light" w:hAnsi="Calibri Light" w:cs="Calibri Light"/>
        </w:rPr>
        <w:t xml:space="preserve">so that they </w:t>
      </w:r>
      <w:r w:rsidR="00A728AC" w:rsidRPr="006E255B">
        <w:rPr>
          <w:rFonts w:ascii="Calibri Light" w:hAnsi="Calibri Light" w:cs="Calibri Light"/>
        </w:rPr>
        <w:t xml:space="preserve">integrate </w:t>
      </w:r>
      <w:r w:rsidR="008643DA" w:rsidRPr="006E255B">
        <w:rPr>
          <w:rFonts w:ascii="Calibri Light" w:hAnsi="Calibri Light" w:cs="Calibri Light"/>
        </w:rPr>
        <w:t xml:space="preserve">with this Strategy </w:t>
      </w:r>
      <w:r w:rsidR="00845A35" w:rsidRPr="006E255B">
        <w:rPr>
          <w:rFonts w:ascii="Calibri Light" w:hAnsi="Calibri Light" w:cs="Calibri Light"/>
        </w:rPr>
        <w:t>in the</w:t>
      </w:r>
      <w:r w:rsidR="00475F32" w:rsidRPr="006E255B">
        <w:rPr>
          <w:rFonts w:ascii="Calibri Light" w:hAnsi="Calibri Light" w:cs="Calibri Light"/>
        </w:rPr>
        <w:t>ir</w:t>
      </w:r>
      <w:r w:rsidR="00A728AC" w:rsidRPr="006E255B">
        <w:rPr>
          <w:rFonts w:ascii="Calibri Light" w:hAnsi="Calibri Light" w:cs="Calibri Light"/>
        </w:rPr>
        <w:t xml:space="preserve"> relevant </w:t>
      </w:r>
      <w:r w:rsidR="00845A35" w:rsidRPr="006E255B">
        <w:rPr>
          <w:rFonts w:ascii="Calibri Light" w:hAnsi="Calibri Light" w:cs="Calibri Light"/>
        </w:rPr>
        <w:t>areas</w:t>
      </w:r>
      <w:r w:rsidR="00A728AC" w:rsidRPr="006E255B">
        <w:rPr>
          <w:rFonts w:ascii="Calibri Light" w:hAnsi="Calibri Light" w:cs="Calibri Light"/>
        </w:rPr>
        <w:t xml:space="preserve"> of </w:t>
      </w:r>
      <w:r w:rsidR="008643DA" w:rsidRPr="006E255B">
        <w:rPr>
          <w:rFonts w:ascii="Calibri Light" w:hAnsi="Calibri Light" w:cs="Calibri Light"/>
        </w:rPr>
        <w:t>operations</w:t>
      </w:r>
      <w:r w:rsidR="007F1207" w:rsidRPr="006E255B">
        <w:rPr>
          <w:rFonts w:ascii="Calibri Light" w:hAnsi="Calibri Light" w:cs="Calibri Light"/>
        </w:rPr>
        <w:t>.</w:t>
      </w:r>
      <w:r w:rsidRPr="006E255B">
        <w:rPr>
          <w:rFonts w:ascii="Calibri Light" w:hAnsi="Calibri Light" w:cs="Calibri Light"/>
        </w:rPr>
        <w:t xml:space="preserve"> </w:t>
      </w:r>
      <w:r w:rsidR="00845A35" w:rsidRPr="006E255B">
        <w:rPr>
          <w:rFonts w:ascii="Calibri Light" w:hAnsi="Calibri Light" w:cs="Calibri Light"/>
        </w:rPr>
        <w:t xml:space="preserve">Clear and </w:t>
      </w:r>
      <w:r w:rsidRPr="006E255B">
        <w:rPr>
          <w:rFonts w:ascii="Calibri Light" w:hAnsi="Calibri Light" w:cs="Calibri Light"/>
        </w:rPr>
        <w:t>consistent governance from the national to local level, and across both public and private sectors, will provide oversight</w:t>
      </w:r>
      <w:r w:rsidR="00845A35" w:rsidRPr="006E255B">
        <w:rPr>
          <w:rFonts w:ascii="Calibri Light" w:hAnsi="Calibri Light" w:cs="Calibri Light"/>
        </w:rPr>
        <w:t xml:space="preserve">, </w:t>
      </w:r>
      <w:r w:rsidR="0008440C" w:rsidRPr="006E255B">
        <w:rPr>
          <w:rFonts w:ascii="Calibri Light" w:hAnsi="Calibri Light" w:cs="Calibri Light"/>
        </w:rPr>
        <w:t>as well as</w:t>
      </w:r>
      <w:r w:rsidRPr="006E255B">
        <w:rPr>
          <w:rFonts w:ascii="Calibri Light" w:hAnsi="Calibri Light" w:cs="Calibri Light"/>
        </w:rPr>
        <w:t xml:space="preserve"> support action and accountability</w:t>
      </w:r>
      <w:r w:rsidR="00845A35" w:rsidRPr="006E255B">
        <w:rPr>
          <w:rFonts w:ascii="Calibri Light" w:hAnsi="Calibri Light" w:cs="Calibri Light"/>
        </w:rPr>
        <w:t xml:space="preserve">, </w:t>
      </w:r>
      <w:r w:rsidRPr="006E255B">
        <w:rPr>
          <w:rFonts w:ascii="Calibri Light" w:hAnsi="Calibri Light" w:cs="Calibri Light"/>
        </w:rPr>
        <w:t xml:space="preserve">under the </w:t>
      </w:r>
      <w:r w:rsidR="00B63191" w:rsidRPr="006E255B">
        <w:rPr>
          <w:rFonts w:ascii="Calibri Light" w:hAnsi="Calibri Light" w:cs="Calibri Light"/>
        </w:rPr>
        <w:t>S</w:t>
      </w:r>
      <w:r w:rsidRPr="006E255B">
        <w:rPr>
          <w:rFonts w:ascii="Calibri Light" w:hAnsi="Calibri Light" w:cs="Calibri Light"/>
        </w:rPr>
        <w:t>trategy</w:t>
      </w:r>
      <w:r w:rsidR="00B63191" w:rsidRPr="006E255B">
        <w:rPr>
          <w:rFonts w:ascii="Calibri Light" w:hAnsi="Calibri Light" w:cs="Calibri Light"/>
        </w:rPr>
        <w:t>.</w:t>
      </w:r>
    </w:p>
    <w:p w14:paraId="38C1AF23" w14:textId="03832FB7" w:rsidR="009A0DAB" w:rsidRPr="006E255B" w:rsidRDefault="009A0DAB" w:rsidP="00E52D81">
      <w:pPr>
        <w:spacing w:after="120" w:line="240" w:lineRule="auto"/>
        <w:rPr>
          <w:rFonts w:ascii="Calibri Light" w:hAnsi="Calibri Light" w:cs="Calibri Light"/>
        </w:rPr>
      </w:pPr>
      <w:r w:rsidRPr="006E255B">
        <w:rPr>
          <w:rFonts w:ascii="Calibri Light" w:hAnsi="Calibri Light" w:cs="Calibri Light"/>
        </w:rPr>
        <w:t xml:space="preserve">Implementation partners will </w:t>
      </w:r>
      <w:r w:rsidR="0008440C" w:rsidRPr="006E255B">
        <w:rPr>
          <w:rFonts w:ascii="Calibri Light" w:hAnsi="Calibri Light" w:cs="Calibri Light"/>
        </w:rPr>
        <w:t xml:space="preserve">be required to </w:t>
      </w:r>
      <w:r w:rsidRPr="006E255B">
        <w:rPr>
          <w:rFonts w:ascii="Calibri Light" w:hAnsi="Calibri Light" w:cs="Calibri Light"/>
        </w:rPr>
        <w:t>develop short</w:t>
      </w:r>
      <w:r w:rsidR="00C94406">
        <w:rPr>
          <w:rFonts w:ascii="Calibri Light" w:hAnsi="Calibri Light" w:cs="Calibri Light"/>
        </w:rPr>
        <w:t>-</w:t>
      </w:r>
      <w:r w:rsidRPr="006E255B">
        <w:rPr>
          <w:rFonts w:ascii="Calibri Light" w:hAnsi="Calibri Light" w:cs="Calibri Light"/>
        </w:rPr>
        <w:t xml:space="preserve"> to medium</w:t>
      </w:r>
      <w:r w:rsidR="00C94406">
        <w:rPr>
          <w:rFonts w:ascii="Calibri Light" w:hAnsi="Calibri Light" w:cs="Calibri Light"/>
        </w:rPr>
        <w:t>-</w:t>
      </w:r>
      <w:r w:rsidRPr="006E255B">
        <w:rPr>
          <w:rFonts w:ascii="Calibri Light" w:hAnsi="Calibri Light" w:cs="Calibri Light"/>
        </w:rPr>
        <w:t xml:space="preserve">term </w:t>
      </w:r>
      <w:r w:rsidR="008D5844" w:rsidRPr="006E255B">
        <w:rPr>
          <w:rFonts w:ascii="Calibri Light" w:hAnsi="Calibri Light" w:cs="Calibri Light"/>
        </w:rPr>
        <w:t xml:space="preserve">action </w:t>
      </w:r>
      <w:r w:rsidRPr="006E255B">
        <w:rPr>
          <w:rFonts w:ascii="Calibri Light" w:hAnsi="Calibri Light" w:cs="Calibri Light"/>
        </w:rPr>
        <w:t>plans</w:t>
      </w:r>
      <w:r w:rsidR="0008440C" w:rsidRPr="006E255B">
        <w:rPr>
          <w:rFonts w:ascii="Calibri Light" w:hAnsi="Calibri Light" w:cs="Calibri Light"/>
        </w:rPr>
        <w:t xml:space="preserve">, </w:t>
      </w:r>
      <w:r w:rsidRPr="006E255B">
        <w:rPr>
          <w:rFonts w:ascii="Calibri Light" w:hAnsi="Calibri Light" w:cs="Calibri Light"/>
        </w:rPr>
        <w:t>set</w:t>
      </w:r>
      <w:r w:rsidR="0008440C" w:rsidRPr="006E255B">
        <w:rPr>
          <w:rFonts w:ascii="Calibri Light" w:hAnsi="Calibri Light" w:cs="Calibri Light"/>
        </w:rPr>
        <w:t>ting</w:t>
      </w:r>
      <w:r w:rsidRPr="006E255B">
        <w:rPr>
          <w:rFonts w:ascii="Calibri Light" w:hAnsi="Calibri Light" w:cs="Calibri Light"/>
        </w:rPr>
        <w:t xml:space="preserve"> out </w:t>
      </w:r>
      <w:r w:rsidR="0008440C" w:rsidRPr="006E255B">
        <w:rPr>
          <w:rFonts w:ascii="Calibri Light" w:hAnsi="Calibri Light" w:cs="Calibri Light"/>
        </w:rPr>
        <w:t>commitments</w:t>
      </w:r>
      <w:r w:rsidRPr="006E255B">
        <w:rPr>
          <w:rFonts w:ascii="Calibri Light" w:hAnsi="Calibri Light" w:cs="Calibri Light"/>
        </w:rPr>
        <w:t xml:space="preserve"> and timeframes for </w:t>
      </w:r>
      <w:r w:rsidR="005D21F4" w:rsidRPr="006E255B">
        <w:rPr>
          <w:rFonts w:ascii="Calibri Light" w:hAnsi="Calibri Light" w:cs="Calibri Light"/>
        </w:rPr>
        <w:t xml:space="preserve">their </w:t>
      </w:r>
      <w:r w:rsidRPr="006E255B">
        <w:rPr>
          <w:rFonts w:ascii="Calibri Light" w:hAnsi="Calibri Light" w:cs="Calibri Light"/>
        </w:rPr>
        <w:t xml:space="preserve">completion. Governance arrangements </w:t>
      </w:r>
      <w:r w:rsidR="005D21F4" w:rsidRPr="006E255B">
        <w:rPr>
          <w:rFonts w:ascii="Calibri Light" w:hAnsi="Calibri Light" w:cs="Calibri Light"/>
        </w:rPr>
        <w:t>will</w:t>
      </w:r>
      <w:r w:rsidRPr="006E255B">
        <w:rPr>
          <w:rFonts w:ascii="Calibri Light" w:hAnsi="Calibri Light" w:cs="Calibri Light"/>
        </w:rPr>
        <w:t xml:space="preserve"> </w:t>
      </w:r>
      <w:r w:rsidR="005D21F4" w:rsidRPr="006E255B">
        <w:rPr>
          <w:rFonts w:ascii="Calibri Light" w:hAnsi="Calibri Light" w:cs="Calibri Light"/>
        </w:rPr>
        <w:t xml:space="preserve">also need to </w:t>
      </w:r>
      <w:r w:rsidRPr="006E255B">
        <w:rPr>
          <w:rFonts w:ascii="Calibri Light" w:hAnsi="Calibri Light" w:cs="Calibri Light"/>
        </w:rPr>
        <w:t>include provision</w:t>
      </w:r>
      <w:r w:rsidR="0008440C" w:rsidRPr="006E255B">
        <w:rPr>
          <w:rFonts w:ascii="Calibri Light" w:hAnsi="Calibri Light" w:cs="Calibri Light"/>
        </w:rPr>
        <w:t>s</w:t>
      </w:r>
      <w:r w:rsidRPr="006E255B">
        <w:rPr>
          <w:rFonts w:ascii="Calibri Light" w:hAnsi="Calibri Light" w:cs="Calibri Light"/>
        </w:rPr>
        <w:t xml:space="preserve"> for </w:t>
      </w:r>
      <w:r w:rsidR="005D21F4" w:rsidRPr="006E255B">
        <w:rPr>
          <w:rFonts w:ascii="Calibri Light" w:hAnsi="Calibri Light" w:cs="Calibri Light"/>
        </w:rPr>
        <w:t xml:space="preserve">the </w:t>
      </w:r>
      <w:r w:rsidRPr="006E255B">
        <w:rPr>
          <w:rFonts w:ascii="Calibri Light" w:hAnsi="Calibri Light" w:cs="Calibri Light"/>
        </w:rPr>
        <w:t xml:space="preserve">oversight of </w:t>
      </w:r>
      <w:r w:rsidR="009C4790" w:rsidRPr="006E255B">
        <w:rPr>
          <w:rFonts w:ascii="Calibri Light" w:hAnsi="Calibri Light" w:cs="Calibri Light"/>
        </w:rPr>
        <w:t xml:space="preserve">those </w:t>
      </w:r>
      <w:r w:rsidRPr="006E255B">
        <w:rPr>
          <w:rFonts w:ascii="Calibri Light" w:hAnsi="Calibri Light" w:cs="Calibri Light"/>
        </w:rPr>
        <w:t>plans</w:t>
      </w:r>
      <w:r w:rsidR="005D21F4" w:rsidRPr="006E255B">
        <w:rPr>
          <w:rFonts w:ascii="Calibri Light" w:hAnsi="Calibri Light" w:cs="Calibri Light"/>
        </w:rPr>
        <w:t xml:space="preserve">, </w:t>
      </w:r>
      <w:r w:rsidR="007004EF" w:rsidRPr="006E255B">
        <w:rPr>
          <w:rFonts w:ascii="Calibri Light" w:hAnsi="Calibri Light" w:cs="Calibri Light"/>
        </w:rPr>
        <w:t>to ensure</w:t>
      </w:r>
      <w:r w:rsidR="005D21F4" w:rsidRPr="006E255B">
        <w:rPr>
          <w:rFonts w:ascii="Calibri Light" w:hAnsi="Calibri Light" w:cs="Calibri Light"/>
        </w:rPr>
        <w:t xml:space="preserve"> they are </w:t>
      </w:r>
      <w:r w:rsidRPr="006E255B">
        <w:rPr>
          <w:rFonts w:ascii="Calibri Light" w:hAnsi="Calibri Light" w:cs="Calibri Light"/>
        </w:rPr>
        <w:t xml:space="preserve">consistent with the principles of action planning </w:t>
      </w:r>
      <w:r w:rsidR="00EE7ACC" w:rsidRPr="00EE7ACC">
        <w:rPr>
          <w:rFonts w:ascii="Calibri Light" w:hAnsi="Calibri Light" w:cs="Calibri Light"/>
        </w:rPr>
        <w:t xml:space="preserve">as set out under the Taking Action and Measuring Success section of this </w:t>
      </w:r>
      <w:r w:rsidR="00EE7ACC" w:rsidRPr="00320CAA">
        <w:rPr>
          <w:rFonts w:ascii="Calibri Light" w:hAnsi="Calibri Light" w:cs="Calibri Light"/>
        </w:rPr>
        <w:t>report</w:t>
      </w:r>
      <w:r w:rsidR="00EE7ACC" w:rsidRPr="00C51E0E">
        <w:rPr>
          <w:rFonts w:ascii="Calibri Light" w:hAnsi="Calibri Light" w:cs="Calibri Light"/>
        </w:rPr>
        <w:t xml:space="preserve"> </w:t>
      </w:r>
      <w:r w:rsidRPr="00C51E0E">
        <w:rPr>
          <w:rFonts w:ascii="Calibri Light" w:hAnsi="Calibri Light" w:cs="Calibri Light"/>
        </w:rPr>
        <w:t xml:space="preserve">(p. </w:t>
      </w:r>
      <w:r w:rsidR="007004B1" w:rsidRPr="00C51E0E">
        <w:rPr>
          <w:rFonts w:ascii="Calibri Light" w:hAnsi="Calibri Light" w:cs="Calibri Light"/>
        </w:rPr>
        <w:t>13</w:t>
      </w:r>
      <w:r w:rsidRPr="00C51E0E">
        <w:rPr>
          <w:rFonts w:ascii="Calibri Light" w:hAnsi="Calibri Light" w:cs="Calibri Light"/>
        </w:rPr>
        <w:t>)</w:t>
      </w:r>
      <w:r w:rsidR="005D21F4" w:rsidRPr="00C51E0E">
        <w:rPr>
          <w:rFonts w:ascii="Calibri Light" w:hAnsi="Calibri Light" w:cs="Calibri Light"/>
        </w:rPr>
        <w:t xml:space="preserve">, </w:t>
      </w:r>
      <w:r w:rsidR="009C4790" w:rsidRPr="00744627">
        <w:rPr>
          <w:rFonts w:ascii="Calibri Light" w:hAnsi="Calibri Light" w:cs="Calibri Light"/>
        </w:rPr>
        <w:t xml:space="preserve">and that </w:t>
      </w:r>
      <w:r w:rsidRPr="001341B0">
        <w:rPr>
          <w:rFonts w:ascii="Calibri Light" w:hAnsi="Calibri Light" w:cs="Calibri Light"/>
        </w:rPr>
        <w:t xml:space="preserve">actions are completed on time to the </w:t>
      </w:r>
      <w:r w:rsidR="005D21F4" w:rsidRPr="001341B0">
        <w:rPr>
          <w:rFonts w:ascii="Calibri Light" w:hAnsi="Calibri Light" w:cs="Calibri Light"/>
        </w:rPr>
        <w:t>best</w:t>
      </w:r>
      <w:r w:rsidRPr="001341B0">
        <w:rPr>
          <w:rFonts w:ascii="Calibri Light" w:hAnsi="Calibri Light" w:cs="Calibri Light"/>
        </w:rPr>
        <w:t xml:space="preserve"> extent possible.</w:t>
      </w:r>
    </w:p>
    <w:p w14:paraId="7968B2AB" w14:textId="77777777" w:rsidR="00E52D81" w:rsidRPr="006E255B" w:rsidRDefault="00206CD2" w:rsidP="00E52D81">
      <w:pPr>
        <w:spacing w:after="120" w:line="240" w:lineRule="auto"/>
        <w:rPr>
          <w:b/>
          <w:smallCaps/>
          <w:spacing w:val="5"/>
          <w:sz w:val="36"/>
          <w:szCs w:val="36"/>
        </w:rPr>
      </w:pPr>
      <w:r w:rsidRPr="006E255B">
        <w:rPr>
          <w:rFonts w:ascii="Calibri Light" w:hAnsi="Calibri Light" w:cs="Calibri Light"/>
        </w:rPr>
        <w:t>For its part</w:t>
      </w:r>
      <w:r w:rsidR="009A0DAB" w:rsidRPr="006E255B">
        <w:rPr>
          <w:rFonts w:ascii="Calibri Light" w:hAnsi="Calibri Light" w:cs="Calibri Light"/>
        </w:rPr>
        <w:t xml:space="preserve">, the Australian Government will </w:t>
      </w:r>
      <w:r w:rsidRPr="006E255B">
        <w:rPr>
          <w:rFonts w:ascii="Calibri Light" w:hAnsi="Calibri Light" w:cs="Calibri Light"/>
        </w:rPr>
        <w:t xml:space="preserve">need to </w:t>
      </w:r>
      <w:r w:rsidR="009A0DAB" w:rsidRPr="006E255B">
        <w:rPr>
          <w:rFonts w:ascii="Calibri Light" w:hAnsi="Calibri Light" w:cs="Calibri Light"/>
        </w:rPr>
        <w:t xml:space="preserve">assess the success of the Strategy </w:t>
      </w:r>
      <w:r w:rsidR="0027277D" w:rsidRPr="006E255B">
        <w:rPr>
          <w:rFonts w:ascii="Calibri Light" w:hAnsi="Calibri Light" w:cs="Calibri Light"/>
        </w:rPr>
        <w:t>– </w:t>
      </w:r>
      <w:r w:rsidR="009A0DAB" w:rsidRPr="006E255B">
        <w:rPr>
          <w:rFonts w:ascii="Calibri Light" w:hAnsi="Calibri Light" w:cs="Calibri Light"/>
        </w:rPr>
        <w:t xml:space="preserve">its Vision, Goal and Objectives </w:t>
      </w:r>
      <w:r w:rsidR="0027277D" w:rsidRPr="006E255B">
        <w:rPr>
          <w:rFonts w:ascii="Calibri Light" w:hAnsi="Calibri Light" w:cs="Calibri Light"/>
        </w:rPr>
        <w:t xml:space="preserve">– </w:t>
      </w:r>
      <w:r w:rsidR="009A0DAB" w:rsidRPr="006E255B">
        <w:rPr>
          <w:rFonts w:ascii="Calibri Light" w:hAnsi="Calibri Light" w:cs="Calibri Light"/>
        </w:rPr>
        <w:t>by developing a national monitoring and evaluation framework</w:t>
      </w:r>
      <w:r w:rsidR="00174C21">
        <w:rPr>
          <w:rFonts w:ascii="Calibri Light" w:hAnsi="Calibri Light" w:cs="Calibri Light"/>
        </w:rPr>
        <w:t>.</w:t>
      </w:r>
      <w:r w:rsidR="00E52D81" w:rsidRPr="006E255B">
        <w:rPr>
          <w:b/>
        </w:rPr>
        <w:br w:type="page"/>
      </w:r>
    </w:p>
    <w:p w14:paraId="409B4BF9" w14:textId="77777777" w:rsidR="00563769" w:rsidRPr="006E255B" w:rsidRDefault="00D95D33" w:rsidP="00893651">
      <w:pPr>
        <w:pStyle w:val="Heading2"/>
        <w:numPr>
          <w:ilvl w:val="0"/>
          <w:numId w:val="14"/>
        </w:numPr>
        <w:spacing w:before="0" w:after="120" w:line="240" w:lineRule="auto"/>
        <w:rPr>
          <w:b/>
        </w:rPr>
      </w:pPr>
      <w:bookmarkStart w:id="40" w:name="_Toc18311688"/>
      <w:r>
        <w:rPr>
          <w:b/>
        </w:rPr>
        <w:lastRenderedPageBreak/>
        <w:t>Prevention and Control of Infections and the Spread of R</w:t>
      </w:r>
      <w:r w:rsidR="00563769" w:rsidRPr="006E255B">
        <w:rPr>
          <w:b/>
        </w:rPr>
        <w:t>esistance</w:t>
      </w:r>
      <w:bookmarkEnd w:id="40"/>
    </w:p>
    <w:p w14:paraId="20BE610E" w14:textId="77777777" w:rsidR="00563769" w:rsidRPr="006E255B" w:rsidRDefault="00563769" w:rsidP="00563769">
      <w:pPr>
        <w:spacing w:after="120"/>
        <w:rPr>
          <w:rFonts w:ascii="Calibri Light" w:hAnsi="Calibri Light" w:cs="Calibri Light"/>
        </w:rPr>
      </w:pPr>
      <w:r w:rsidRPr="006E255B">
        <w:rPr>
          <w:noProof/>
          <w:lang w:eastAsia="en-AU"/>
        </w:rPr>
        <mc:AlternateContent>
          <mc:Choice Requires="wps">
            <w:drawing>
              <wp:inline distT="0" distB="0" distL="0" distR="0" wp14:anchorId="083A3214" wp14:editId="3B9FE941">
                <wp:extent cx="1828800" cy="1828800"/>
                <wp:effectExtent l="0" t="0" r="15240" b="27305"/>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78759DA" w14:textId="77777777" w:rsidR="00F96E29" w:rsidRPr="00D85499" w:rsidRDefault="00F96E29" w:rsidP="00563769">
                            <w:pPr>
                              <w:rPr>
                                <w:b/>
                              </w:rPr>
                            </w:pPr>
                            <w:r w:rsidRPr="00D85499">
                              <w:rPr>
                                <w:b/>
                              </w:rPr>
                              <w:t xml:space="preserve">Priority Areas for Action </w:t>
                            </w:r>
                          </w:p>
                          <w:p w14:paraId="5E8EE1D3" w14:textId="52DE7C10" w:rsidR="00F96E29" w:rsidRPr="003E2CD2" w:rsidRDefault="00F96E29" w:rsidP="00563769">
                            <w:pPr>
                              <w:rPr>
                                <w:rFonts w:eastAsia="Times New Roman"/>
                              </w:rPr>
                            </w:pPr>
                            <w:r>
                              <w:rPr>
                                <w:rFonts w:eastAsia="Times New Roman" w:cs="Palatino Linotype"/>
                                <w:b/>
                                <w:bCs/>
                                <w:color w:val="939597"/>
                              </w:rPr>
                              <w:t>2</w:t>
                            </w:r>
                            <w:r w:rsidRPr="003E2CD2">
                              <w:rPr>
                                <w:rFonts w:eastAsia="Times New Roman" w:cs="Palatino Linotype"/>
                                <w:b/>
                                <w:bCs/>
                                <w:color w:val="939597"/>
                              </w:rPr>
                              <w:t>.1</w:t>
                            </w:r>
                            <w:r>
                              <w:rPr>
                                <w:rFonts w:eastAsia="Times New Roman" w:cs="Palatino Linotype"/>
                                <w:b/>
                                <w:bCs/>
                                <w:color w:val="939597"/>
                              </w:rPr>
                              <w:t xml:space="preserve"> </w:t>
                            </w:r>
                            <w:r>
                              <w:rPr>
                                <w:rFonts w:eastAsia="Times New Roman"/>
                              </w:rPr>
                              <w:t>Adopt</w:t>
                            </w:r>
                            <w:r w:rsidRPr="003E2CD2">
                              <w:rPr>
                                <w:rFonts w:eastAsia="Times New Roman"/>
                              </w:rPr>
                              <w:t xml:space="preserve"> evidence-based and nationally consistent standards for </w:t>
                            </w:r>
                            <w:r>
                              <w:rPr>
                                <w:rFonts w:eastAsia="Times New Roman"/>
                              </w:rPr>
                              <w:t>infection prevention and control</w:t>
                            </w:r>
                            <w:r w:rsidRPr="003E2CD2">
                              <w:rPr>
                                <w:rFonts w:eastAsia="Times New Roman"/>
                              </w:rPr>
                              <w:t xml:space="preserve"> and biosecurity</w:t>
                            </w:r>
                          </w:p>
                          <w:p w14:paraId="2A7A4F7E" w14:textId="61439FC1" w:rsidR="00F96E29" w:rsidRPr="003E2CD2" w:rsidRDefault="00F96E29" w:rsidP="00563769">
                            <w:pPr>
                              <w:rPr>
                                <w:rFonts w:eastAsia="Times New Roman"/>
                              </w:rPr>
                            </w:pPr>
                            <w:r>
                              <w:rPr>
                                <w:rFonts w:eastAsia="Times New Roman" w:cs="Palatino Linotype"/>
                                <w:b/>
                                <w:bCs/>
                                <w:color w:val="939597"/>
                              </w:rPr>
                              <w:t>2</w:t>
                            </w:r>
                            <w:r w:rsidRPr="003E2CD2">
                              <w:rPr>
                                <w:rFonts w:eastAsia="Times New Roman" w:cs="Palatino Linotype"/>
                                <w:b/>
                                <w:bCs/>
                                <w:color w:val="939597"/>
                              </w:rPr>
                              <w:t>.2</w:t>
                            </w:r>
                            <w:r>
                              <w:rPr>
                                <w:rFonts w:eastAsia="Times New Roman" w:cs="Palatino Linotype"/>
                                <w:b/>
                                <w:bCs/>
                                <w:color w:val="939597"/>
                              </w:rPr>
                              <w:t xml:space="preserve"> </w:t>
                            </w:r>
                            <w:r w:rsidRPr="003E2CD2">
                              <w:rPr>
                                <w:rFonts w:eastAsia="Times New Roman"/>
                              </w:rPr>
                              <w:t>Maximise compliance with best</w:t>
                            </w:r>
                            <w:r w:rsidR="00B20417">
                              <w:rPr>
                                <w:rFonts w:eastAsia="Times New Roman"/>
                              </w:rPr>
                              <w:t>-</w:t>
                            </w:r>
                            <w:r w:rsidRPr="003E2CD2">
                              <w:rPr>
                                <w:rFonts w:eastAsia="Times New Roman"/>
                              </w:rPr>
                              <w:t xml:space="preserve">practice </w:t>
                            </w:r>
                            <w:r>
                              <w:rPr>
                                <w:rFonts w:eastAsia="Times New Roman"/>
                              </w:rPr>
                              <w:t>infection prevention and control</w:t>
                            </w:r>
                            <w:r w:rsidRPr="003E2CD2">
                              <w:rPr>
                                <w:rFonts w:eastAsia="Times New Roman"/>
                              </w:rPr>
                              <w:t xml:space="preserve"> and biosecurity measures through adherence to </w:t>
                            </w:r>
                            <w:r>
                              <w:rPr>
                                <w:rFonts w:eastAsia="Times New Roman"/>
                              </w:rPr>
                              <w:t xml:space="preserve">applicable legislation, </w:t>
                            </w:r>
                            <w:r w:rsidRPr="003E2CD2">
                              <w:rPr>
                                <w:rFonts w:eastAsia="Times New Roman"/>
                              </w:rPr>
                              <w:t xml:space="preserve">targets and accreditation standards </w:t>
                            </w:r>
                          </w:p>
                          <w:p w14:paraId="31486792" w14:textId="77777777" w:rsidR="00F96E29" w:rsidRPr="003E2CD2" w:rsidRDefault="00F96E29" w:rsidP="00563769">
                            <w:pPr>
                              <w:rPr>
                                <w:rFonts w:eastAsia="Times New Roman"/>
                              </w:rPr>
                            </w:pPr>
                            <w:r>
                              <w:rPr>
                                <w:rFonts w:eastAsia="Times New Roman" w:cs="Palatino Linotype"/>
                                <w:b/>
                                <w:bCs/>
                                <w:color w:val="939597"/>
                              </w:rPr>
                              <w:t>2</w:t>
                            </w:r>
                            <w:r w:rsidRPr="003E2CD2">
                              <w:rPr>
                                <w:rFonts w:eastAsia="Times New Roman" w:cs="Palatino Linotype"/>
                                <w:b/>
                                <w:bCs/>
                                <w:color w:val="939597"/>
                              </w:rPr>
                              <w:t>.</w:t>
                            </w:r>
                            <w:r>
                              <w:rPr>
                                <w:rFonts w:eastAsia="Times New Roman" w:cs="Palatino Linotype"/>
                                <w:b/>
                                <w:bCs/>
                                <w:color w:val="939597"/>
                              </w:rPr>
                              <w:t xml:space="preserve">3 </w:t>
                            </w:r>
                            <w:r w:rsidRPr="003E2CD2">
                              <w:rPr>
                                <w:rFonts w:eastAsia="Times New Roman"/>
                              </w:rPr>
                              <w:t xml:space="preserve">Promote </w:t>
                            </w:r>
                            <w:r>
                              <w:rPr>
                                <w:rFonts w:eastAsia="Times New Roman"/>
                              </w:rPr>
                              <w:t xml:space="preserve">disease prevention practices to reduce infections </w:t>
                            </w:r>
                            <w:r w:rsidRPr="003E2CD2">
                              <w:rPr>
                                <w:rFonts w:eastAsia="Times New Roman"/>
                              </w:rPr>
                              <w:t>and subsequent use of antimicrobials</w:t>
                            </w:r>
                          </w:p>
                          <w:p w14:paraId="41BA1ADD" w14:textId="77777777" w:rsidR="00F96E29" w:rsidRPr="000E220F" w:rsidRDefault="00F96E29" w:rsidP="00563769">
                            <w:pPr>
                              <w:rPr>
                                <w:rFonts w:eastAsia="Times New Roman" w:cs="Palatino Linotype"/>
                                <w:b/>
                                <w:bCs/>
                                <w:color w:val="939597"/>
                              </w:rPr>
                            </w:pPr>
                            <w:r>
                              <w:rPr>
                                <w:rFonts w:eastAsia="Times New Roman" w:cs="Palatino Linotype"/>
                                <w:b/>
                                <w:bCs/>
                                <w:color w:val="939597"/>
                              </w:rPr>
                              <w:t>2</w:t>
                            </w:r>
                            <w:r w:rsidRPr="003E2CD2">
                              <w:rPr>
                                <w:rFonts w:eastAsia="Times New Roman" w:cs="Palatino Linotype"/>
                                <w:b/>
                                <w:bCs/>
                                <w:color w:val="939597"/>
                              </w:rPr>
                              <w:t>.</w:t>
                            </w:r>
                            <w:r>
                              <w:rPr>
                                <w:rFonts w:eastAsia="Times New Roman" w:cs="Palatino Linotype"/>
                                <w:b/>
                                <w:bCs/>
                                <w:color w:val="939597"/>
                              </w:rPr>
                              <w:t xml:space="preserve">4 </w:t>
                            </w:r>
                            <w:r w:rsidRPr="003E2CD2">
                              <w:rPr>
                                <w:rFonts w:eastAsia="Times New Roman"/>
                              </w:rPr>
                              <w:t>Shar</w:t>
                            </w:r>
                            <w:r>
                              <w:rPr>
                                <w:rFonts w:eastAsia="Times New Roman"/>
                              </w:rPr>
                              <w:t>e information</w:t>
                            </w:r>
                            <w:r w:rsidRPr="003E2CD2">
                              <w:rPr>
                                <w:rFonts w:eastAsia="Times New Roman"/>
                              </w:rPr>
                              <w:t xml:space="preserve"> on emerging </w:t>
                            </w:r>
                            <w:r>
                              <w:rPr>
                                <w:rFonts w:eastAsia="Times New Roman"/>
                              </w:rPr>
                              <w:t xml:space="preserve">antimicrobial resistance </w:t>
                            </w:r>
                            <w:r w:rsidRPr="003E2CD2">
                              <w:rPr>
                                <w:rFonts w:eastAsia="Times New Roman"/>
                              </w:rPr>
                              <w:t>trends</w:t>
                            </w:r>
                            <w:r>
                              <w:rPr>
                                <w:rFonts w:eastAsia="Times New Roman"/>
                              </w:rPr>
                              <w:t xml:space="preserve"> to inform responses</w:t>
                            </w:r>
                            <w:r w:rsidRPr="003E2CD2">
                              <w:rPr>
                                <w:rFonts w:eastAsia="Times New Roman"/>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83A3214" id="Text Box 4" o:spid="_x0000_s1029"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LEfQ789AgAAfwQAAA4AAAAAAAAAAAAA&#10;AAAALgIAAGRycy9lMm9Eb2MueG1sUEsBAi0AFAAGAAgAAAAhALcMAwjXAAAABQEAAA8AAAAAAAAA&#10;AAAAAAAAlwQAAGRycy9kb3ducmV2LnhtbFBLBQYAAAAABAAEAPMAAACbBQAAAAA=&#10;" filled="f" strokeweight=".5pt">
                <v:textbox style="mso-fit-shape-to-text:t">
                  <w:txbxContent>
                    <w:p w14:paraId="378759DA" w14:textId="77777777" w:rsidR="00F96E29" w:rsidRPr="00D85499" w:rsidRDefault="00F96E29" w:rsidP="00563769">
                      <w:pPr>
                        <w:rPr>
                          <w:b/>
                        </w:rPr>
                      </w:pPr>
                      <w:r w:rsidRPr="00D85499">
                        <w:rPr>
                          <w:b/>
                        </w:rPr>
                        <w:t xml:space="preserve">Priority Areas for Action </w:t>
                      </w:r>
                    </w:p>
                    <w:p w14:paraId="5E8EE1D3" w14:textId="52DE7C10" w:rsidR="00F96E29" w:rsidRPr="003E2CD2" w:rsidRDefault="00F96E29" w:rsidP="00563769">
                      <w:pPr>
                        <w:rPr>
                          <w:rFonts w:eastAsia="Times New Roman"/>
                        </w:rPr>
                      </w:pPr>
                      <w:r>
                        <w:rPr>
                          <w:rFonts w:eastAsia="Times New Roman" w:cs="Palatino Linotype"/>
                          <w:b/>
                          <w:bCs/>
                          <w:color w:val="939597"/>
                        </w:rPr>
                        <w:t>2</w:t>
                      </w:r>
                      <w:r w:rsidRPr="003E2CD2">
                        <w:rPr>
                          <w:rFonts w:eastAsia="Times New Roman" w:cs="Palatino Linotype"/>
                          <w:b/>
                          <w:bCs/>
                          <w:color w:val="939597"/>
                        </w:rPr>
                        <w:t>.1</w:t>
                      </w:r>
                      <w:r>
                        <w:rPr>
                          <w:rFonts w:eastAsia="Times New Roman" w:cs="Palatino Linotype"/>
                          <w:b/>
                          <w:bCs/>
                          <w:color w:val="939597"/>
                        </w:rPr>
                        <w:t xml:space="preserve"> </w:t>
                      </w:r>
                      <w:r>
                        <w:rPr>
                          <w:rFonts w:eastAsia="Times New Roman"/>
                        </w:rPr>
                        <w:t>Adopt</w:t>
                      </w:r>
                      <w:r w:rsidRPr="003E2CD2">
                        <w:rPr>
                          <w:rFonts w:eastAsia="Times New Roman"/>
                        </w:rPr>
                        <w:t xml:space="preserve"> evidence-based and nationally consistent standards for </w:t>
                      </w:r>
                      <w:r>
                        <w:rPr>
                          <w:rFonts w:eastAsia="Times New Roman"/>
                        </w:rPr>
                        <w:t>infection prevention and control</w:t>
                      </w:r>
                      <w:r w:rsidRPr="003E2CD2">
                        <w:rPr>
                          <w:rFonts w:eastAsia="Times New Roman"/>
                        </w:rPr>
                        <w:t xml:space="preserve"> and biosecurity</w:t>
                      </w:r>
                    </w:p>
                    <w:p w14:paraId="2A7A4F7E" w14:textId="61439FC1" w:rsidR="00F96E29" w:rsidRPr="003E2CD2" w:rsidRDefault="00F96E29" w:rsidP="00563769">
                      <w:pPr>
                        <w:rPr>
                          <w:rFonts w:eastAsia="Times New Roman"/>
                        </w:rPr>
                      </w:pPr>
                      <w:r>
                        <w:rPr>
                          <w:rFonts w:eastAsia="Times New Roman" w:cs="Palatino Linotype"/>
                          <w:b/>
                          <w:bCs/>
                          <w:color w:val="939597"/>
                        </w:rPr>
                        <w:t>2</w:t>
                      </w:r>
                      <w:r w:rsidRPr="003E2CD2">
                        <w:rPr>
                          <w:rFonts w:eastAsia="Times New Roman" w:cs="Palatino Linotype"/>
                          <w:b/>
                          <w:bCs/>
                          <w:color w:val="939597"/>
                        </w:rPr>
                        <w:t>.2</w:t>
                      </w:r>
                      <w:r>
                        <w:rPr>
                          <w:rFonts w:eastAsia="Times New Roman" w:cs="Palatino Linotype"/>
                          <w:b/>
                          <w:bCs/>
                          <w:color w:val="939597"/>
                        </w:rPr>
                        <w:t xml:space="preserve"> </w:t>
                      </w:r>
                      <w:r w:rsidRPr="003E2CD2">
                        <w:rPr>
                          <w:rFonts w:eastAsia="Times New Roman"/>
                        </w:rPr>
                        <w:t>Maximise compliance with best</w:t>
                      </w:r>
                      <w:r w:rsidR="00B20417">
                        <w:rPr>
                          <w:rFonts w:eastAsia="Times New Roman"/>
                        </w:rPr>
                        <w:t>-</w:t>
                      </w:r>
                      <w:r w:rsidRPr="003E2CD2">
                        <w:rPr>
                          <w:rFonts w:eastAsia="Times New Roman"/>
                        </w:rPr>
                        <w:t xml:space="preserve">practice </w:t>
                      </w:r>
                      <w:r>
                        <w:rPr>
                          <w:rFonts w:eastAsia="Times New Roman"/>
                        </w:rPr>
                        <w:t>infection prevention and control</w:t>
                      </w:r>
                      <w:r w:rsidRPr="003E2CD2">
                        <w:rPr>
                          <w:rFonts w:eastAsia="Times New Roman"/>
                        </w:rPr>
                        <w:t xml:space="preserve"> and biosecurity measures through adherence to </w:t>
                      </w:r>
                      <w:r>
                        <w:rPr>
                          <w:rFonts w:eastAsia="Times New Roman"/>
                        </w:rPr>
                        <w:t xml:space="preserve">applicable legislation, </w:t>
                      </w:r>
                      <w:r w:rsidRPr="003E2CD2">
                        <w:rPr>
                          <w:rFonts w:eastAsia="Times New Roman"/>
                        </w:rPr>
                        <w:t xml:space="preserve">targets and accreditation standards </w:t>
                      </w:r>
                    </w:p>
                    <w:p w14:paraId="31486792" w14:textId="77777777" w:rsidR="00F96E29" w:rsidRPr="003E2CD2" w:rsidRDefault="00F96E29" w:rsidP="00563769">
                      <w:pPr>
                        <w:rPr>
                          <w:rFonts w:eastAsia="Times New Roman"/>
                        </w:rPr>
                      </w:pPr>
                      <w:r>
                        <w:rPr>
                          <w:rFonts w:eastAsia="Times New Roman" w:cs="Palatino Linotype"/>
                          <w:b/>
                          <w:bCs/>
                          <w:color w:val="939597"/>
                        </w:rPr>
                        <w:t>2</w:t>
                      </w:r>
                      <w:r w:rsidRPr="003E2CD2">
                        <w:rPr>
                          <w:rFonts w:eastAsia="Times New Roman" w:cs="Palatino Linotype"/>
                          <w:b/>
                          <w:bCs/>
                          <w:color w:val="939597"/>
                        </w:rPr>
                        <w:t>.</w:t>
                      </w:r>
                      <w:r>
                        <w:rPr>
                          <w:rFonts w:eastAsia="Times New Roman" w:cs="Palatino Linotype"/>
                          <w:b/>
                          <w:bCs/>
                          <w:color w:val="939597"/>
                        </w:rPr>
                        <w:t xml:space="preserve">3 </w:t>
                      </w:r>
                      <w:r w:rsidRPr="003E2CD2">
                        <w:rPr>
                          <w:rFonts w:eastAsia="Times New Roman"/>
                        </w:rPr>
                        <w:t xml:space="preserve">Promote </w:t>
                      </w:r>
                      <w:r>
                        <w:rPr>
                          <w:rFonts w:eastAsia="Times New Roman"/>
                        </w:rPr>
                        <w:t xml:space="preserve">disease prevention practices to reduce infections </w:t>
                      </w:r>
                      <w:r w:rsidRPr="003E2CD2">
                        <w:rPr>
                          <w:rFonts w:eastAsia="Times New Roman"/>
                        </w:rPr>
                        <w:t>and subsequent use of antimicrobials</w:t>
                      </w:r>
                    </w:p>
                    <w:p w14:paraId="41BA1ADD" w14:textId="77777777" w:rsidR="00F96E29" w:rsidRPr="000E220F" w:rsidRDefault="00F96E29" w:rsidP="00563769">
                      <w:pPr>
                        <w:rPr>
                          <w:rFonts w:eastAsia="Times New Roman" w:cs="Palatino Linotype"/>
                          <w:b/>
                          <w:bCs/>
                          <w:color w:val="939597"/>
                        </w:rPr>
                      </w:pPr>
                      <w:r>
                        <w:rPr>
                          <w:rFonts w:eastAsia="Times New Roman" w:cs="Palatino Linotype"/>
                          <w:b/>
                          <w:bCs/>
                          <w:color w:val="939597"/>
                        </w:rPr>
                        <w:t>2</w:t>
                      </w:r>
                      <w:r w:rsidRPr="003E2CD2">
                        <w:rPr>
                          <w:rFonts w:eastAsia="Times New Roman" w:cs="Palatino Linotype"/>
                          <w:b/>
                          <w:bCs/>
                          <w:color w:val="939597"/>
                        </w:rPr>
                        <w:t>.</w:t>
                      </w:r>
                      <w:r>
                        <w:rPr>
                          <w:rFonts w:eastAsia="Times New Roman" w:cs="Palatino Linotype"/>
                          <w:b/>
                          <w:bCs/>
                          <w:color w:val="939597"/>
                        </w:rPr>
                        <w:t xml:space="preserve">4 </w:t>
                      </w:r>
                      <w:r w:rsidRPr="003E2CD2">
                        <w:rPr>
                          <w:rFonts w:eastAsia="Times New Roman"/>
                        </w:rPr>
                        <w:t>Shar</w:t>
                      </w:r>
                      <w:r>
                        <w:rPr>
                          <w:rFonts w:eastAsia="Times New Roman"/>
                        </w:rPr>
                        <w:t>e information</w:t>
                      </w:r>
                      <w:r w:rsidRPr="003E2CD2">
                        <w:rPr>
                          <w:rFonts w:eastAsia="Times New Roman"/>
                        </w:rPr>
                        <w:t xml:space="preserve"> on emerging </w:t>
                      </w:r>
                      <w:r>
                        <w:rPr>
                          <w:rFonts w:eastAsia="Times New Roman"/>
                        </w:rPr>
                        <w:t xml:space="preserve">antimicrobial resistance </w:t>
                      </w:r>
                      <w:r w:rsidRPr="003E2CD2">
                        <w:rPr>
                          <w:rFonts w:eastAsia="Times New Roman"/>
                        </w:rPr>
                        <w:t>trends</w:t>
                      </w:r>
                      <w:r>
                        <w:rPr>
                          <w:rFonts w:eastAsia="Times New Roman"/>
                        </w:rPr>
                        <w:t xml:space="preserve"> to inform responses</w:t>
                      </w:r>
                      <w:r w:rsidRPr="003E2CD2">
                        <w:rPr>
                          <w:rFonts w:eastAsia="Times New Roman"/>
                        </w:rPr>
                        <w:t xml:space="preserve">  </w:t>
                      </w:r>
                    </w:p>
                  </w:txbxContent>
                </v:textbox>
                <w10:anchorlock/>
              </v:shape>
            </w:pict>
          </mc:Fallback>
        </mc:AlternateContent>
      </w:r>
    </w:p>
    <w:p w14:paraId="429E2882" w14:textId="77777777" w:rsidR="00563769" w:rsidRPr="00190644" w:rsidRDefault="00563769" w:rsidP="00563769">
      <w:pPr>
        <w:spacing w:after="120" w:line="240" w:lineRule="auto"/>
        <w:rPr>
          <w:rFonts w:ascii="Calibri Light" w:hAnsi="Calibri Light" w:cs="Calibri Light"/>
        </w:rPr>
      </w:pPr>
      <w:r w:rsidRPr="00190644">
        <w:rPr>
          <w:rFonts w:ascii="Calibri Light" w:hAnsi="Calibri Light" w:cs="Calibri Light"/>
        </w:rPr>
        <w:t>Infections are the core reason for antimicrobial use; therefore, efforts to prevent, reduce and control their spread helps lower the need for antimicrobials in the first place. The less antimicrobials used, the less opportunity there is for organisms to develop resistance. Without effective infection prevention and control in human health, and biosecurity measures in animal health and food production, antimicrobial resistance would rise.</w:t>
      </w:r>
    </w:p>
    <w:p w14:paraId="4884D593" w14:textId="77777777" w:rsidR="00563769" w:rsidRPr="00190644" w:rsidRDefault="00563769" w:rsidP="00563769">
      <w:pPr>
        <w:spacing w:after="120" w:line="240" w:lineRule="auto"/>
        <w:rPr>
          <w:rFonts w:ascii="Calibri Light" w:hAnsi="Calibri Light" w:cs="Calibri Light"/>
        </w:rPr>
      </w:pPr>
      <w:r w:rsidRPr="00190644">
        <w:rPr>
          <w:rFonts w:ascii="Calibri Light" w:hAnsi="Calibri Light" w:cs="Calibri Light"/>
        </w:rPr>
        <w:t xml:space="preserve">Infection can spread from person to person through direct contact or contaminated objects. It can also spread from humans to animals (and vice versa) through </w:t>
      </w:r>
      <w:r w:rsidR="00773070">
        <w:rPr>
          <w:rFonts w:ascii="Calibri Light" w:hAnsi="Calibri Light" w:cs="Calibri Light"/>
        </w:rPr>
        <w:t>direct or indirect</w:t>
      </w:r>
      <w:r w:rsidRPr="00190644">
        <w:rPr>
          <w:rFonts w:ascii="Calibri Light" w:hAnsi="Calibri Light" w:cs="Calibri Light"/>
        </w:rPr>
        <w:t xml:space="preserve"> contact, or via </w:t>
      </w:r>
      <w:r w:rsidR="003A7D21">
        <w:rPr>
          <w:rFonts w:ascii="Calibri Light" w:hAnsi="Calibri Light" w:cs="Calibri Light"/>
        </w:rPr>
        <w:t>disease carriers</w:t>
      </w:r>
      <w:r w:rsidR="003A7D21" w:rsidRPr="00190644">
        <w:rPr>
          <w:rFonts w:ascii="Calibri Light" w:hAnsi="Calibri Light" w:cs="Calibri Light"/>
        </w:rPr>
        <w:t xml:space="preserve"> </w:t>
      </w:r>
      <w:r w:rsidRPr="00190644">
        <w:rPr>
          <w:rFonts w:ascii="Calibri Light" w:hAnsi="Calibri Light" w:cs="Calibri Light"/>
        </w:rPr>
        <w:t>such as mosquitoes. It can spread through food via infected animal</w:t>
      </w:r>
      <w:r w:rsidR="00174C21">
        <w:rPr>
          <w:rFonts w:ascii="Calibri Light" w:hAnsi="Calibri Light" w:cs="Calibri Light"/>
        </w:rPr>
        <w:t xml:space="preserve"> products</w:t>
      </w:r>
      <w:r w:rsidRPr="00190644">
        <w:rPr>
          <w:rFonts w:ascii="Calibri Light" w:hAnsi="Calibri Light" w:cs="Calibri Light"/>
        </w:rPr>
        <w:t xml:space="preserve"> and contaminated vegetables; or contaminated water used for drinking and irrigation.</w:t>
      </w:r>
    </w:p>
    <w:p w14:paraId="2B0233C8" w14:textId="77777777" w:rsidR="00563769" w:rsidRPr="00190644" w:rsidRDefault="00563769" w:rsidP="00563769">
      <w:pPr>
        <w:spacing w:after="120" w:line="240" w:lineRule="auto"/>
        <w:rPr>
          <w:rFonts w:ascii="Calibri Light" w:hAnsi="Calibri Light" w:cs="Calibri Light"/>
        </w:rPr>
      </w:pPr>
      <w:r w:rsidRPr="00190644">
        <w:rPr>
          <w:rFonts w:ascii="Calibri Light" w:hAnsi="Calibri Light" w:cs="Calibri Light"/>
        </w:rPr>
        <w:t>The spread of infection can be accelerated by many factors: from the close proximity of many ill and infirm in human healthcare facilities such as hospitals, to the ease and volume of international trade and travel, which can easily allow a</w:t>
      </w:r>
      <w:r w:rsidR="00032F1C">
        <w:rPr>
          <w:rFonts w:ascii="Calibri Light" w:hAnsi="Calibri Light" w:cs="Calibri Light"/>
        </w:rPr>
        <w:t>n</w:t>
      </w:r>
      <w:r w:rsidRPr="00190644">
        <w:rPr>
          <w:rFonts w:ascii="Calibri Light" w:hAnsi="Calibri Light" w:cs="Calibri Light"/>
        </w:rPr>
        <w:t xml:space="preserve"> infection to become global.</w:t>
      </w:r>
    </w:p>
    <w:p w14:paraId="0E894F29" w14:textId="44544103" w:rsidR="00563769" w:rsidRPr="006E255B" w:rsidRDefault="00563769" w:rsidP="00563769">
      <w:pPr>
        <w:spacing w:after="120" w:line="240" w:lineRule="auto"/>
        <w:rPr>
          <w:rFonts w:ascii="Calibri Light" w:hAnsi="Calibri Light" w:cs="Calibri Light"/>
        </w:rPr>
      </w:pPr>
      <w:r w:rsidRPr="00190644">
        <w:rPr>
          <w:rFonts w:ascii="Calibri Light" w:hAnsi="Calibri Light" w:cs="Calibri Light"/>
        </w:rPr>
        <w:t>It</w:t>
      </w:r>
      <w:r w:rsidR="000D6475">
        <w:rPr>
          <w:rFonts w:ascii="Calibri Light" w:hAnsi="Calibri Light" w:cs="Calibri Light"/>
        </w:rPr>
        <w:t>’</w:t>
      </w:r>
      <w:r w:rsidRPr="00190644">
        <w:rPr>
          <w:rFonts w:ascii="Calibri Light" w:hAnsi="Calibri Light" w:cs="Calibri Light"/>
        </w:rPr>
        <w:t>s not generally appreciated that everyone, not just those working in human health or agricultural biosecurity, has a role to play in preventing infection spread. Organisations and individuals must be encouraged to practi</w:t>
      </w:r>
      <w:r w:rsidR="0044560F">
        <w:rPr>
          <w:rFonts w:ascii="Calibri Light" w:hAnsi="Calibri Light" w:cs="Calibri Light"/>
        </w:rPr>
        <w:t>s</w:t>
      </w:r>
      <w:r w:rsidRPr="00190644">
        <w:rPr>
          <w:rFonts w:ascii="Calibri Light" w:hAnsi="Calibri Light" w:cs="Calibri Light"/>
        </w:rPr>
        <w:t>e infection control in all settings, including workplaces, public spaces, veterinary practices and the livestock industry, as well as the health, aged care and child care sectors. This can take the form of hand hygiene, better nursing and sanitation practices and the use of vaccines.</w:t>
      </w:r>
      <w:r w:rsidRPr="006E255B">
        <w:rPr>
          <w:rFonts w:ascii="Calibri Light" w:hAnsi="Calibri Light" w:cs="Calibri Light"/>
        </w:rPr>
        <w:t xml:space="preserve">  </w:t>
      </w:r>
    </w:p>
    <w:p w14:paraId="44AE80A8" w14:textId="77777777" w:rsidR="00563769" w:rsidRPr="006E255B" w:rsidRDefault="00563769" w:rsidP="00563769">
      <w:pPr>
        <w:spacing w:after="120" w:line="240" w:lineRule="auto"/>
        <w:rPr>
          <w:rFonts w:ascii="Calibri Light" w:hAnsi="Calibri Light" w:cs="Calibri Light"/>
        </w:rPr>
      </w:pPr>
      <w:r w:rsidRPr="006E255B">
        <w:rPr>
          <w:rFonts w:ascii="Calibri Light" w:hAnsi="Calibri Light" w:cs="Calibri Light"/>
        </w:rPr>
        <w:t xml:space="preserve">Biosecurity measures </w:t>
      </w:r>
      <w:r>
        <w:rPr>
          <w:rFonts w:ascii="Calibri Light" w:hAnsi="Calibri Light" w:cs="Calibri Light"/>
        </w:rPr>
        <w:t xml:space="preserve">help </w:t>
      </w:r>
      <w:r w:rsidRPr="006E255B">
        <w:rPr>
          <w:rFonts w:ascii="Calibri Light" w:hAnsi="Calibri Light" w:cs="Calibri Light"/>
        </w:rPr>
        <w:t xml:space="preserve">minimise the risk of infection </w:t>
      </w:r>
      <w:r w:rsidR="00A74C53">
        <w:rPr>
          <w:rFonts w:ascii="Calibri Light" w:hAnsi="Calibri Light" w:cs="Calibri Light"/>
        </w:rPr>
        <w:t>between animals and groups of animals</w:t>
      </w:r>
      <w:r w:rsidR="009D09EC">
        <w:rPr>
          <w:rFonts w:ascii="Calibri Light" w:hAnsi="Calibri Light" w:cs="Calibri Light"/>
        </w:rPr>
        <w:t xml:space="preserve">, </w:t>
      </w:r>
      <w:r w:rsidR="00A74C53">
        <w:rPr>
          <w:rFonts w:ascii="Calibri Light" w:hAnsi="Calibri Light" w:cs="Calibri Light"/>
        </w:rPr>
        <w:t>thereby reduc</w:t>
      </w:r>
      <w:r w:rsidR="009D09EC">
        <w:rPr>
          <w:rFonts w:ascii="Calibri Light" w:hAnsi="Calibri Light" w:cs="Calibri Light"/>
        </w:rPr>
        <w:t>ing</w:t>
      </w:r>
      <w:r w:rsidR="00A74C53">
        <w:rPr>
          <w:rFonts w:ascii="Calibri Light" w:hAnsi="Calibri Light" w:cs="Calibri Light"/>
        </w:rPr>
        <w:t xml:space="preserve"> the need for antimicrobials. </w:t>
      </w:r>
      <w:r>
        <w:rPr>
          <w:rFonts w:ascii="Calibri Light" w:hAnsi="Calibri Light" w:cs="Calibri Light"/>
        </w:rPr>
        <w:t>It</w:t>
      </w:r>
      <w:r w:rsidRPr="006E255B">
        <w:rPr>
          <w:rFonts w:ascii="Calibri Light" w:hAnsi="Calibri Light" w:cs="Calibri Light"/>
        </w:rPr>
        <w:t xml:space="preserve"> is a shared responsibility</w:t>
      </w:r>
      <w:r>
        <w:rPr>
          <w:rFonts w:ascii="Calibri Light" w:hAnsi="Calibri Light" w:cs="Calibri Light"/>
        </w:rPr>
        <w:t>,</w:t>
      </w:r>
      <w:r w:rsidRPr="006E255B">
        <w:rPr>
          <w:rFonts w:ascii="Calibri Light" w:hAnsi="Calibri Light" w:cs="Calibri Light"/>
        </w:rPr>
        <w:t xml:space="preserve"> and requires </w:t>
      </w:r>
      <w:r>
        <w:rPr>
          <w:rFonts w:ascii="Calibri Light" w:hAnsi="Calibri Light" w:cs="Calibri Light"/>
        </w:rPr>
        <w:t xml:space="preserve">both </w:t>
      </w:r>
      <w:r w:rsidRPr="006E255B">
        <w:rPr>
          <w:rFonts w:ascii="Calibri Light" w:hAnsi="Calibri Light" w:cs="Calibri Light"/>
        </w:rPr>
        <w:t xml:space="preserve">commitment and effort from </w:t>
      </w:r>
      <w:r>
        <w:rPr>
          <w:rFonts w:ascii="Calibri Light" w:hAnsi="Calibri Light" w:cs="Calibri Light"/>
        </w:rPr>
        <w:t>all sectors,</w:t>
      </w:r>
      <w:r w:rsidRPr="006E255B">
        <w:rPr>
          <w:rFonts w:ascii="Calibri Light" w:hAnsi="Calibri Light" w:cs="Calibri Light"/>
        </w:rPr>
        <w:t xml:space="preserve"> including government</w:t>
      </w:r>
      <w:r>
        <w:rPr>
          <w:rFonts w:ascii="Calibri Light" w:hAnsi="Calibri Light" w:cs="Calibri Light"/>
        </w:rPr>
        <w:t>,</w:t>
      </w:r>
      <w:r w:rsidRPr="006E255B">
        <w:rPr>
          <w:rFonts w:ascii="Calibri Light" w:hAnsi="Calibri Light" w:cs="Calibri Light"/>
        </w:rPr>
        <w:t xml:space="preserve"> industry, business and the community.</w:t>
      </w:r>
    </w:p>
    <w:p w14:paraId="758A7FAD" w14:textId="77777777" w:rsidR="00563769" w:rsidRDefault="00563769" w:rsidP="00563769">
      <w:pPr>
        <w:spacing w:after="120" w:line="240" w:lineRule="auto"/>
        <w:rPr>
          <w:rFonts w:ascii="Calibri Light" w:hAnsi="Calibri Light" w:cs="Calibri Light"/>
        </w:rPr>
      </w:pPr>
      <w:r w:rsidRPr="006E255B">
        <w:rPr>
          <w:rFonts w:ascii="Calibri Light" w:hAnsi="Calibri Light" w:cs="Calibri Light"/>
        </w:rPr>
        <w:t>Best-practice infection prevention and control</w:t>
      </w:r>
      <w:r>
        <w:rPr>
          <w:rFonts w:ascii="Calibri Light" w:hAnsi="Calibri Light" w:cs="Calibri Light"/>
        </w:rPr>
        <w:t xml:space="preserve">, </w:t>
      </w:r>
      <w:r w:rsidRPr="006E255B">
        <w:rPr>
          <w:rFonts w:ascii="Calibri Light" w:hAnsi="Calibri Light" w:cs="Calibri Light"/>
        </w:rPr>
        <w:t>and biosecurity programs and standards</w:t>
      </w:r>
      <w:r>
        <w:rPr>
          <w:rFonts w:ascii="Calibri Light" w:hAnsi="Calibri Light" w:cs="Calibri Light"/>
        </w:rPr>
        <w:t xml:space="preserve"> – </w:t>
      </w:r>
      <w:r w:rsidRPr="006E255B">
        <w:rPr>
          <w:rFonts w:ascii="Calibri Light" w:hAnsi="Calibri Light" w:cs="Calibri Light"/>
        </w:rPr>
        <w:t>including quality assurance, monitoring and evaluation programs</w:t>
      </w:r>
      <w:r>
        <w:rPr>
          <w:rFonts w:ascii="Calibri Light" w:hAnsi="Calibri Light" w:cs="Calibri Light"/>
        </w:rPr>
        <w:t xml:space="preserve"> – </w:t>
      </w:r>
      <w:r w:rsidRPr="006E255B">
        <w:rPr>
          <w:rFonts w:ascii="Calibri Light" w:hAnsi="Calibri Light" w:cs="Calibri Light"/>
        </w:rPr>
        <w:t>need to be evidence-based and adopted across all sectors.</w:t>
      </w:r>
    </w:p>
    <w:p w14:paraId="5D50F719" w14:textId="77777777" w:rsidR="00563769" w:rsidRDefault="00563769" w:rsidP="00563769">
      <w:pPr>
        <w:spacing w:after="120" w:line="240" w:lineRule="auto"/>
        <w:rPr>
          <w:rFonts w:ascii="Calibri Light" w:hAnsi="Calibri Light" w:cs="Calibri Light"/>
        </w:rPr>
      </w:pPr>
      <w:r w:rsidRPr="006E255B">
        <w:rPr>
          <w:rFonts w:ascii="Calibri Light" w:hAnsi="Calibri Light" w:cs="Calibri Light"/>
        </w:rPr>
        <w:t>To limit the emergence and spread of infections</w:t>
      </w:r>
      <w:r w:rsidR="003707F6">
        <w:rPr>
          <w:rFonts w:ascii="Calibri Light" w:hAnsi="Calibri Light" w:cs="Calibri Light"/>
        </w:rPr>
        <w:t xml:space="preserve"> </w:t>
      </w:r>
      <w:r w:rsidR="00E01032">
        <w:rPr>
          <w:rFonts w:ascii="Calibri Light" w:hAnsi="Calibri Light" w:cs="Calibri Light"/>
        </w:rPr>
        <w:t>in humans an</w:t>
      </w:r>
      <w:r w:rsidR="00A859A8">
        <w:rPr>
          <w:rFonts w:ascii="Calibri Light" w:hAnsi="Calibri Light" w:cs="Calibri Light"/>
        </w:rPr>
        <w:t xml:space="preserve">d animals, </w:t>
      </w:r>
      <w:r>
        <w:rPr>
          <w:rFonts w:ascii="Calibri Light" w:hAnsi="Calibri Light" w:cs="Calibri Light"/>
        </w:rPr>
        <w:t>efforts</w:t>
      </w:r>
      <w:r w:rsidRPr="006E255B">
        <w:rPr>
          <w:rFonts w:ascii="Calibri Light" w:hAnsi="Calibri Light" w:cs="Calibri Light"/>
        </w:rPr>
        <w:t xml:space="preserve"> should be carried out in parallel </w:t>
      </w:r>
      <w:r w:rsidR="00EE7ACC">
        <w:rPr>
          <w:rFonts w:ascii="Calibri Light" w:hAnsi="Calibri Light" w:cs="Calibri Light"/>
        </w:rPr>
        <w:t xml:space="preserve">with </w:t>
      </w:r>
      <w:r w:rsidR="009F5F07">
        <w:rPr>
          <w:rFonts w:ascii="Calibri Light" w:hAnsi="Calibri Light" w:cs="Calibri Light"/>
        </w:rPr>
        <w:t xml:space="preserve">those </w:t>
      </w:r>
      <w:r w:rsidR="00EE7ACC">
        <w:rPr>
          <w:rFonts w:ascii="Calibri Light" w:hAnsi="Calibri Light" w:cs="Calibri Light"/>
        </w:rPr>
        <w:t>activities that reinforce</w:t>
      </w:r>
      <w:r w:rsidRPr="006E255B">
        <w:rPr>
          <w:rFonts w:ascii="Calibri Light" w:hAnsi="Calibri Light" w:cs="Calibri Light"/>
        </w:rPr>
        <w:t xml:space="preserve"> antimicrobial stewardship and the use of timely surveillance and monitoring data. Over time, the availability of surveillance data, and findings from research and the development of new technologies</w:t>
      </w:r>
      <w:r>
        <w:rPr>
          <w:rFonts w:ascii="Calibri Light" w:hAnsi="Calibri Light" w:cs="Calibri Light"/>
        </w:rPr>
        <w:t>,</w:t>
      </w:r>
      <w:r w:rsidRPr="006E255B">
        <w:rPr>
          <w:rFonts w:ascii="Calibri Light" w:hAnsi="Calibri Light" w:cs="Calibri Light"/>
        </w:rPr>
        <w:t xml:space="preserve"> will </w:t>
      </w:r>
      <w:r>
        <w:rPr>
          <w:rFonts w:ascii="Calibri Light" w:hAnsi="Calibri Light" w:cs="Calibri Light"/>
        </w:rPr>
        <w:t>help suggest</w:t>
      </w:r>
      <w:r w:rsidRPr="006E255B">
        <w:rPr>
          <w:rFonts w:ascii="Calibri Light" w:hAnsi="Calibri Light" w:cs="Calibri Light"/>
        </w:rPr>
        <w:t xml:space="preserve"> new approaches and improvements </w:t>
      </w:r>
      <w:r>
        <w:rPr>
          <w:rFonts w:ascii="Calibri Light" w:hAnsi="Calibri Light" w:cs="Calibri Light"/>
        </w:rPr>
        <w:t xml:space="preserve">that will further enhance </w:t>
      </w:r>
      <w:r w:rsidRPr="006E255B">
        <w:rPr>
          <w:rFonts w:ascii="Calibri Light" w:hAnsi="Calibri Light" w:cs="Calibri Light"/>
        </w:rPr>
        <w:t>infection prevention and biosecurity.</w:t>
      </w:r>
    </w:p>
    <w:p w14:paraId="06245F9D" w14:textId="39CD18B9" w:rsidR="00563769" w:rsidRDefault="00563769" w:rsidP="00563769">
      <w:pPr>
        <w:spacing w:after="120" w:line="240" w:lineRule="auto"/>
        <w:rPr>
          <w:rFonts w:ascii="Calibri Light" w:hAnsi="Calibri Light" w:cs="Calibri Light"/>
        </w:rPr>
      </w:pPr>
      <w:r w:rsidRPr="00E804E4">
        <w:rPr>
          <w:rFonts w:ascii="Calibri Light" w:hAnsi="Calibri Light" w:cs="Calibri Light"/>
        </w:rPr>
        <w:t xml:space="preserve">International trends in </w:t>
      </w:r>
      <w:r w:rsidR="00E804E4" w:rsidRPr="00E804E4">
        <w:rPr>
          <w:rFonts w:ascii="Calibri Light" w:hAnsi="Calibri Light" w:cs="Calibri Light"/>
        </w:rPr>
        <w:t xml:space="preserve">infection prevention and control </w:t>
      </w:r>
      <w:r w:rsidRPr="00E804E4">
        <w:rPr>
          <w:rFonts w:ascii="Calibri Light" w:hAnsi="Calibri Light" w:cs="Calibri Light"/>
        </w:rPr>
        <w:t xml:space="preserve">need to be monitored to learn about </w:t>
      </w:r>
      <w:r w:rsidR="009A5BDA">
        <w:rPr>
          <w:rFonts w:ascii="Calibri Light" w:hAnsi="Calibri Light" w:cs="Calibri Light"/>
        </w:rPr>
        <w:t xml:space="preserve">new </w:t>
      </w:r>
      <w:r w:rsidR="00AA498E">
        <w:rPr>
          <w:rFonts w:ascii="Calibri Light" w:hAnsi="Calibri Light" w:cs="Calibri Light"/>
        </w:rPr>
        <w:t xml:space="preserve">and </w:t>
      </w:r>
      <w:r w:rsidR="009D0CCA">
        <w:rPr>
          <w:rFonts w:ascii="Calibri Light" w:hAnsi="Calibri Light" w:cs="Calibri Light"/>
        </w:rPr>
        <w:t xml:space="preserve">better </w:t>
      </w:r>
      <w:r w:rsidR="00AA498E">
        <w:rPr>
          <w:rFonts w:ascii="Calibri Light" w:hAnsi="Calibri Light" w:cs="Calibri Light"/>
        </w:rPr>
        <w:t xml:space="preserve">ways to </w:t>
      </w:r>
      <w:r w:rsidR="009D0CCA">
        <w:rPr>
          <w:rFonts w:ascii="Calibri Light" w:hAnsi="Calibri Light" w:cs="Calibri Light"/>
        </w:rPr>
        <w:t>arrest the spread of infections</w:t>
      </w:r>
      <w:r w:rsidRPr="00E804E4">
        <w:rPr>
          <w:rFonts w:ascii="Calibri Light" w:hAnsi="Calibri Light" w:cs="Calibri Light"/>
        </w:rPr>
        <w:t xml:space="preserve"> and where critically important resistant infections are occurring, so that all sectors in Australia can be better informed on how best to respond.</w:t>
      </w:r>
    </w:p>
    <w:p w14:paraId="3C74C23B" w14:textId="77777777" w:rsidR="00572707" w:rsidRDefault="00572707">
      <w:pPr>
        <w:rPr>
          <w:rFonts w:ascii="Calibri Light" w:hAnsi="Calibri Light" w:cs="Calibri Light"/>
        </w:rPr>
      </w:pPr>
      <w:r>
        <w:rPr>
          <w:rFonts w:ascii="Calibri Light" w:hAnsi="Calibri Light" w:cs="Calibri Light"/>
        </w:rPr>
        <w:br w:type="page"/>
      </w:r>
    </w:p>
    <w:p w14:paraId="664C341D" w14:textId="77777777" w:rsidR="00177975" w:rsidRPr="006866D5" w:rsidRDefault="0037274A" w:rsidP="00F96E29">
      <w:pPr>
        <w:pStyle w:val="Heading2"/>
        <w:numPr>
          <w:ilvl w:val="0"/>
          <w:numId w:val="14"/>
        </w:numPr>
        <w:spacing w:before="0" w:after="120" w:line="240" w:lineRule="auto"/>
        <w:rPr>
          <w:rFonts w:cs="Calibri Light"/>
          <w:b/>
        </w:rPr>
      </w:pPr>
      <w:bookmarkStart w:id="41" w:name="_Toc18311689"/>
      <w:bookmarkEnd w:id="38"/>
      <w:r w:rsidRPr="006866D5">
        <w:rPr>
          <w:b/>
        </w:rPr>
        <w:lastRenderedPageBreak/>
        <w:t>Greater Engagement in the Combat Against Resistance</w:t>
      </w:r>
      <w:bookmarkEnd w:id="41"/>
    </w:p>
    <w:p w14:paraId="14781ED8" w14:textId="77777777" w:rsidR="001161F1" w:rsidRDefault="00ED5ECA" w:rsidP="00666DF7">
      <w:pPr>
        <w:spacing w:after="120" w:line="240" w:lineRule="auto"/>
        <w:rPr>
          <w:rFonts w:ascii="Calibri Light" w:hAnsi="Calibri Light" w:cs="Calibri Light"/>
        </w:rPr>
      </w:pPr>
      <w:r w:rsidRPr="006866D5">
        <w:rPr>
          <w:b/>
          <w:noProof/>
          <w:lang w:eastAsia="en-AU"/>
        </w:rPr>
        <mc:AlternateContent>
          <mc:Choice Requires="wps">
            <w:drawing>
              <wp:inline distT="0" distB="0" distL="0" distR="0" wp14:anchorId="259ADAE2" wp14:editId="40CBE54C">
                <wp:extent cx="5731510" cy="2424918"/>
                <wp:effectExtent l="0" t="0" r="15240" b="10795"/>
                <wp:docPr id="1" name="Text Box 1"/>
                <wp:cNvGraphicFramePr/>
                <a:graphic xmlns:a="http://schemas.openxmlformats.org/drawingml/2006/main">
                  <a:graphicData uri="http://schemas.microsoft.com/office/word/2010/wordprocessingShape">
                    <wps:wsp>
                      <wps:cNvSpPr txBox="1"/>
                      <wps:spPr>
                        <a:xfrm>
                          <a:off x="0" y="0"/>
                          <a:ext cx="5731510" cy="2424918"/>
                        </a:xfrm>
                        <a:prstGeom prst="rect">
                          <a:avLst/>
                        </a:prstGeom>
                        <a:noFill/>
                        <a:ln w="6350">
                          <a:solidFill>
                            <a:prstClr val="black"/>
                          </a:solidFill>
                        </a:ln>
                      </wps:spPr>
                      <wps:txbx>
                        <w:txbxContent>
                          <w:p w14:paraId="3463999C" w14:textId="77777777" w:rsidR="00F96E29" w:rsidRPr="00177975" w:rsidRDefault="00F96E29" w:rsidP="00ED5ECA">
                            <w:pPr>
                              <w:rPr>
                                <w:rFonts w:eastAsia="Times New Roman"/>
                                <w:b/>
                              </w:rPr>
                            </w:pPr>
                            <w:r w:rsidRPr="00177975">
                              <w:rPr>
                                <w:rFonts w:eastAsia="Times New Roman"/>
                                <w:b/>
                              </w:rPr>
                              <w:t xml:space="preserve">Priority Areas for Action </w:t>
                            </w:r>
                          </w:p>
                          <w:p w14:paraId="6C08B330" w14:textId="77777777" w:rsidR="00F96E29" w:rsidRPr="00177975" w:rsidRDefault="00F96E29" w:rsidP="00ED5ECA">
                            <w:pPr>
                              <w:rPr>
                                <w:rFonts w:eastAsia="Times New Roman"/>
                                <w:color w:val="1F4D78"/>
                              </w:rPr>
                            </w:pPr>
                            <w:r>
                              <w:rPr>
                                <w:rFonts w:eastAsia="Times New Roman" w:cs="Palatino Linotype"/>
                                <w:b/>
                                <w:bCs/>
                                <w:color w:val="939597"/>
                              </w:rPr>
                              <w:t>3</w:t>
                            </w:r>
                            <w:r w:rsidRPr="00177975">
                              <w:rPr>
                                <w:rFonts w:eastAsia="Times New Roman" w:cs="Palatino Linotype"/>
                                <w:b/>
                                <w:bCs/>
                                <w:color w:val="939597"/>
                              </w:rPr>
                              <w:t>.1</w:t>
                            </w:r>
                            <w:r>
                              <w:rPr>
                                <w:rFonts w:eastAsia="Times New Roman" w:cs="Palatino Linotype"/>
                                <w:b/>
                                <w:bCs/>
                                <w:color w:val="939597"/>
                              </w:rPr>
                              <w:t xml:space="preserve"> </w:t>
                            </w:r>
                            <w:r w:rsidRPr="0074275B">
                              <w:rPr>
                                <w:rFonts w:eastAsia="Times New Roman"/>
                              </w:rPr>
                              <w:t>Develop and implement a coordinated,</w:t>
                            </w:r>
                            <w:r>
                              <w:rPr>
                                <w:rFonts w:eastAsia="Times New Roman"/>
                              </w:rPr>
                              <w:t xml:space="preserve"> One Health</w:t>
                            </w:r>
                            <w:r w:rsidRPr="0074275B">
                              <w:rPr>
                                <w:rFonts w:eastAsia="Times New Roman"/>
                              </w:rPr>
                              <w:t xml:space="preserve"> communication strategy</w:t>
                            </w:r>
                            <w:r>
                              <w:rPr>
                                <w:rFonts w:eastAsia="Times New Roman"/>
                              </w:rPr>
                              <w:t>, as well as</w:t>
                            </w:r>
                            <w:r w:rsidRPr="0074275B">
                              <w:rPr>
                                <w:rFonts w:eastAsia="Times New Roman"/>
                              </w:rPr>
                              <w:t xml:space="preserve"> monitoring and evaluation, to support whole-of-society awareness and </w:t>
                            </w:r>
                            <w:r>
                              <w:rPr>
                                <w:rFonts w:eastAsia="Times New Roman"/>
                              </w:rPr>
                              <w:t>behavioural change</w:t>
                            </w:r>
                          </w:p>
                          <w:p w14:paraId="24CF1726" w14:textId="1EA69639" w:rsidR="00F96E29" w:rsidRPr="00177975" w:rsidRDefault="00F96E29" w:rsidP="00ED5ECA">
                            <w:pPr>
                              <w:rPr>
                                <w:rFonts w:eastAsia="Times New Roman"/>
                              </w:rPr>
                            </w:pPr>
                            <w:r>
                              <w:rPr>
                                <w:rFonts w:eastAsia="Times New Roman" w:cs="Palatino Linotype"/>
                                <w:b/>
                                <w:bCs/>
                                <w:color w:val="939597"/>
                              </w:rPr>
                              <w:t>3</w:t>
                            </w:r>
                            <w:r w:rsidRPr="00177975">
                              <w:rPr>
                                <w:rFonts w:eastAsia="Times New Roman" w:cs="Palatino Linotype"/>
                                <w:b/>
                                <w:bCs/>
                                <w:color w:val="939597"/>
                              </w:rPr>
                              <w:t>.2</w:t>
                            </w:r>
                            <w:r w:rsidRPr="00177975">
                              <w:rPr>
                                <w:rFonts w:eastAsia="Times New Roman"/>
                                <w:color w:val="1F4D78"/>
                              </w:rPr>
                              <w:t xml:space="preserve"> </w:t>
                            </w:r>
                            <w:r w:rsidRPr="0074275B">
                              <w:rPr>
                                <w:rFonts w:eastAsia="Times New Roman"/>
                              </w:rPr>
                              <w:t xml:space="preserve">Strengthen public and political awareness to champion and improve the understanding of </w:t>
                            </w:r>
                            <w:r w:rsidR="001B433D">
                              <w:rPr>
                                <w:rFonts w:eastAsia="Times New Roman"/>
                              </w:rPr>
                              <w:t xml:space="preserve">the importance of </w:t>
                            </w:r>
                            <w:r w:rsidRPr="0074275B">
                              <w:rPr>
                                <w:rFonts w:eastAsia="Times New Roman"/>
                              </w:rPr>
                              <w:t xml:space="preserve">combatting </w:t>
                            </w:r>
                            <w:r>
                              <w:rPr>
                                <w:rFonts w:eastAsia="Times New Roman"/>
                              </w:rPr>
                              <w:t>antimicrobial resistance</w:t>
                            </w:r>
                            <w:r w:rsidRPr="0074275B">
                              <w:rPr>
                                <w:rFonts w:eastAsia="Times New Roman"/>
                              </w:rPr>
                              <w:t xml:space="preserve"> </w:t>
                            </w:r>
                          </w:p>
                          <w:p w14:paraId="37B7D70F" w14:textId="77777777" w:rsidR="00F96E29" w:rsidRPr="00177975" w:rsidRDefault="00F96E29" w:rsidP="00ED5ECA">
                            <w:pPr>
                              <w:rPr>
                                <w:rFonts w:eastAsia="Times New Roman"/>
                                <w:color w:val="1F4D78"/>
                              </w:rPr>
                            </w:pPr>
                            <w:r>
                              <w:rPr>
                                <w:rFonts w:eastAsia="Times New Roman" w:cs="Palatino Linotype"/>
                                <w:b/>
                                <w:bCs/>
                                <w:color w:val="939597"/>
                              </w:rPr>
                              <w:t>3</w:t>
                            </w:r>
                            <w:r w:rsidRPr="00177975">
                              <w:rPr>
                                <w:rFonts w:eastAsia="Times New Roman" w:cs="Palatino Linotype"/>
                                <w:b/>
                                <w:bCs/>
                                <w:color w:val="939597"/>
                              </w:rPr>
                              <w:t>.3</w:t>
                            </w:r>
                            <w:r>
                              <w:rPr>
                                <w:rFonts w:eastAsia="Times New Roman" w:cs="Palatino Linotype"/>
                                <w:b/>
                                <w:bCs/>
                                <w:color w:val="939597"/>
                              </w:rPr>
                              <w:t xml:space="preserve"> </w:t>
                            </w:r>
                            <w:r w:rsidRPr="00DC45B2">
                              <w:rPr>
                                <w:rFonts w:eastAsia="Times New Roman"/>
                              </w:rPr>
                              <w:t>Create new</w:t>
                            </w:r>
                            <w:r>
                              <w:rPr>
                                <w:rFonts w:eastAsia="Times New Roman"/>
                              </w:rPr>
                              <w:t xml:space="preserve"> and </w:t>
                            </w:r>
                            <w:r w:rsidRPr="0016088C">
                              <w:rPr>
                                <w:rFonts w:eastAsia="Times New Roman"/>
                              </w:rPr>
                              <w:t>different</w:t>
                            </w:r>
                            <w:r w:rsidRPr="00DC45B2">
                              <w:rPr>
                                <w:rFonts w:eastAsia="Times New Roman"/>
                              </w:rPr>
                              <w:t xml:space="preserve"> </w:t>
                            </w:r>
                            <w:r w:rsidRPr="0016088C">
                              <w:rPr>
                                <w:rFonts w:eastAsia="Times New Roman"/>
                              </w:rPr>
                              <w:t xml:space="preserve">key </w:t>
                            </w:r>
                            <w:r w:rsidRPr="00DC45B2">
                              <w:rPr>
                                <w:rFonts w:eastAsia="Times New Roman"/>
                              </w:rPr>
                              <w:t xml:space="preserve">antimicrobial resistance </w:t>
                            </w:r>
                            <w:r w:rsidRPr="0016088C">
                              <w:rPr>
                                <w:rFonts w:eastAsia="Times New Roman"/>
                              </w:rPr>
                              <w:t>messages that resonate</w:t>
                            </w:r>
                            <w:r>
                              <w:rPr>
                                <w:rFonts w:eastAsia="Times New Roman"/>
                              </w:rPr>
                              <w:t xml:space="preserve"> with society </w:t>
                            </w:r>
                          </w:p>
                          <w:p w14:paraId="22C23484" w14:textId="77777777" w:rsidR="00F96E29" w:rsidRPr="0074275B" w:rsidRDefault="00F96E29" w:rsidP="00ED5ECA">
                            <w:pPr>
                              <w:rPr>
                                <w:rFonts w:eastAsia="Times New Roman" w:cs="Palatino Linotype"/>
                                <w:b/>
                                <w:bCs/>
                              </w:rPr>
                            </w:pPr>
                            <w:r>
                              <w:rPr>
                                <w:rFonts w:eastAsia="Times New Roman" w:cs="Palatino Linotype"/>
                                <w:b/>
                                <w:bCs/>
                                <w:color w:val="939597"/>
                              </w:rPr>
                              <w:t>3</w:t>
                            </w:r>
                            <w:r w:rsidRPr="00177975">
                              <w:rPr>
                                <w:rFonts w:eastAsia="Times New Roman" w:cs="Palatino Linotype"/>
                                <w:b/>
                                <w:bCs/>
                                <w:color w:val="939597"/>
                              </w:rPr>
                              <w:t>.4</w:t>
                            </w:r>
                            <w:r>
                              <w:rPr>
                                <w:rFonts w:eastAsia="Times New Roman" w:cs="Palatino Linotype"/>
                                <w:b/>
                                <w:bCs/>
                                <w:color w:val="939597"/>
                              </w:rPr>
                              <w:t xml:space="preserve"> </w:t>
                            </w:r>
                            <w:r>
                              <w:rPr>
                                <w:rFonts w:eastAsia="Times New Roman"/>
                              </w:rPr>
                              <w:t>Drive</w:t>
                            </w:r>
                            <w:r w:rsidRPr="0074275B">
                              <w:rPr>
                                <w:rFonts w:eastAsia="Times New Roman"/>
                              </w:rPr>
                              <w:t xml:space="preserve"> education and training initiatives across all relevant sectors and increase accessibility to evidence-based best-practice information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59ADAE2" id="Text Box 1" o:spid="_x0000_s1030" type="#_x0000_t202" style="width:451.3pt;height:190.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" filled="f" strokeweight=".5pt">
                <v:textbox style="mso-fit-shape-to-text:t">
                  <w:txbxContent>
                    <w:p w14:paraId="3463999C" w14:textId="77777777" w:rsidR="00F96E29" w:rsidRPr="00177975" w:rsidRDefault="00F96E29" w:rsidP="00ED5ECA">
                      <w:pPr>
                        <w:rPr>
                          <w:rFonts w:eastAsia="Times New Roman"/>
                          <w:b/>
                        </w:rPr>
                      </w:pPr>
                      <w:r w:rsidRPr="00177975">
                        <w:rPr>
                          <w:rFonts w:eastAsia="Times New Roman"/>
                          <w:b/>
                        </w:rPr>
                        <w:t xml:space="preserve">Priority Areas for Action </w:t>
                      </w:r>
                    </w:p>
                    <w:p w14:paraId="6C08B330" w14:textId="77777777" w:rsidR="00F96E29" w:rsidRPr="00177975" w:rsidRDefault="00F96E29" w:rsidP="00ED5ECA">
                      <w:pPr>
                        <w:rPr>
                          <w:rFonts w:eastAsia="Times New Roman"/>
                          <w:color w:val="1F4D78"/>
                        </w:rPr>
                      </w:pPr>
                      <w:r>
                        <w:rPr>
                          <w:rFonts w:eastAsia="Times New Roman" w:cs="Palatino Linotype"/>
                          <w:b/>
                          <w:bCs/>
                          <w:color w:val="939597"/>
                        </w:rPr>
                        <w:t>3</w:t>
                      </w:r>
                      <w:r w:rsidRPr="00177975">
                        <w:rPr>
                          <w:rFonts w:eastAsia="Times New Roman" w:cs="Palatino Linotype"/>
                          <w:b/>
                          <w:bCs/>
                          <w:color w:val="939597"/>
                        </w:rPr>
                        <w:t>.1</w:t>
                      </w:r>
                      <w:r>
                        <w:rPr>
                          <w:rFonts w:eastAsia="Times New Roman" w:cs="Palatino Linotype"/>
                          <w:b/>
                          <w:bCs/>
                          <w:color w:val="939597"/>
                        </w:rPr>
                        <w:t xml:space="preserve"> </w:t>
                      </w:r>
                      <w:r w:rsidRPr="0074275B">
                        <w:rPr>
                          <w:rFonts w:eastAsia="Times New Roman"/>
                        </w:rPr>
                        <w:t>Develop and implement a coordinated,</w:t>
                      </w:r>
                      <w:r>
                        <w:rPr>
                          <w:rFonts w:eastAsia="Times New Roman"/>
                        </w:rPr>
                        <w:t xml:space="preserve"> One Health</w:t>
                      </w:r>
                      <w:r w:rsidRPr="0074275B">
                        <w:rPr>
                          <w:rFonts w:eastAsia="Times New Roman"/>
                        </w:rPr>
                        <w:t xml:space="preserve"> communication strategy</w:t>
                      </w:r>
                      <w:r>
                        <w:rPr>
                          <w:rFonts w:eastAsia="Times New Roman"/>
                        </w:rPr>
                        <w:t>, as well as</w:t>
                      </w:r>
                      <w:r w:rsidRPr="0074275B">
                        <w:rPr>
                          <w:rFonts w:eastAsia="Times New Roman"/>
                        </w:rPr>
                        <w:t xml:space="preserve"> monitoring and evaluation, to support whole-of-society awareness and </w:t>
                      </w:r>
                      <w:r>
                        <w:rPr>
                          <w:rFonts w:eastAsia="Times New Roman"/>
                        </w:rPr>
                        <w:t>behavioural change</w:t>
                      </w:r>
                    </w:p>
                    <w:p w14:paraId="24CF1726" w14:textId="1EA69639" w:rsidR="00F96E29" w:rsidRPr="00177975" w:rsidRDefault="00F96E29" w:rsidP="00ED5ECA">
                      <w:pPr>
                        <w:rPr>
                          <w:rFonts w:eastAsia="Times New Roman"/>
                        </w:rPr>
                      </w:pPr>
                      <w:r>
                        <w:rPr>
                          <w:rFonts w:eastAsia="Times New Roman" w:cs="Palatino Linotype"/>
                          <w:b/>
                          <w:bCs/>
                          <w:color w:val="939597"/>
                        </w:rPr>
                        <w:t>3</w:t>
                      </w:r>
                      <w:r w:rsidRPr="00177975">
                        <w:rPr>
                          <w:rFonts w:eastAsia="Times New Roman" w:cs="Palatino Linotype"/>
                          <w:b/>
                          <w:bCs/>
                          <w:color w:val="939597"/>
                        </w:rPr>
                        <w:t>.2</w:t>
                      </w:r>
                      <w:r w:rsidRPr="00177975">
                        <w:rPr>
                          <w:rFonts w:eastAsia="Times New Roman"/>
                          <w:color w:val="1F4D78"/>
                        </w:rPr>
                        <w:t xml:space="preserve"> </w:t>
                      </w:r>
                      <w:r w:rsidRPr="0074275B">
                        <w:rPr>
                          <w:rFonts w:eastAsia="Times New Roman"/>
                        </w:rPr>
                        <w:t xml:space="preserve">Strengthen public and political awareness to champion and improve the understanding of </w:t>
                      </w:r>
                      <w:r w:rsidR="001B433D">
                        <w:rPr>
                          <w:rFonts w:eastAsia="Times New Roman"/>
                        </w:rPr>
                        <w:t xml:space="preserve">the importance of </w:t>
                      </w:r>
                      <w:r w:rsidRPr="0074275B">
                        <w:rPr>
                          <w:rFonts w:eastAsia="Times New Roman"/>
                        </w:rPr>
                        <w:t xml:space="preserve">combatting </w:t>
                      </w:r>
                      <w:r>
                        <w:rPr>
                          <w:rFonts w:eastAsia="Times New Roman"/>
                        </w:rPr>
                        <w:t>antimicrobial resistance</w:t>
                      </w:r>
                      <w:r w:rsidRPr="0074275B">
                        <w:rPr>
                          <w:rFonts w:eastAsia="Times New Roman"/>
                        </w:rPr>
                        <w:t xml:space="preserve"> </w:t>
                      </w:r>
                    </w:p>
                    <w:p w14:paraId="37B7D70F" w14:textId="77777777" w:rsidR="00F96E29" w:rsidRPr="00177975" w:rsidRDefault="00F96E29" w:rsidP="00ED5ECA">
                      <w:pPr>
                        <w:rPr>
                          <w:rFonts w:eastAsia="Times New Roman"/>
                          <w:color w:val="1F4D78"/>
                        </w:rPr>
                      </w:pPr>
                      <w:r>
                        <w:rPr>
                          <w:rFonts w:eastAsia="Times New Roman" w:cs="Palatino Linotype"/>
                          <w:b/>
                          <w:bCs/>
                          <w:color w:val="939597"/>
                        </w:rPr>
                        <w:t>3</w:t>
                      </w:r>
                      <w:r w:rsidRPr="00177975">
                        <w:rPr>
                          <w:rFonts w:eastAsia="Times New Roman" w:cs="Palatino Linotype"/>
                          <w:b/>
                          <w:bCs/>
                          <w:color w:val="939597"/>
                        </w:rPr>
                        <w:t>.3</w:t>
                      </w:r>
                      <w:r>
                        <w:rPr>
                          <w:rFonts w:eastAsia="Times New Roman" w:cs="Palatino Linotype"/>
                          <w:b/>
                          <w:bCs/>
                          <w:color w:val="939597"/>
                        </w:rPr>
                        <w:t xml:space="preserve"> </w:t>
                      </w:r>
                      <w:r w:rsidRPr="00DC45B2">
                        <w:rPr>
                          <w:rFonts w:eastAsia="Times New Roman"/>
                        </w:rPr>
                        <w:t>Create new</w:t>
                      </w:r>
                      <w:r>
                        <w:rPr>
                          <w:rFonts w:eastAsia="Times New Roman"/>
                        </w:rPr>
                        <w:t xml:space="preserve"> and </w:t>
                      </w:r>
                      <w:r w:rsidRPr="0016088C">
                        <w:rPr>
                          <w:rFonts w:eastAsia="Times New Roman"/>
                        </w:rPr>
                        <w:t>different</w:t>
                      </w:r>
                      <w:r w:rsidRPr="00DC45B2">
                        <w:rPr>
                          <w:rFonts w:eastAsia="Times New Roman"/>
                        </w:rPr>
                        <w:t xml:space="preserve"> </w:t>
                      </w:r>
                      <w:r w:rsidRPr="0016088C">
                        <w:rPr>
                          <w:rFonts w:eastAsia="Times New Roman"/>
                        </w:rPr>
                        <w:t xml:space="preserve">key </w:t>
                      </w:r>
                      <w:r w:rsidRPr="00DC45B2">
                        <w:rPr>
                          <w:rFonts w:eastAsia="Times New Roman"/>
                        </w:rPr>
                        <w:t xml:space="preserve">antimicrobial resistance </w:t>
                      </w:r>
                      <w:r w:rsidRPr="0016088C">
                        <w:rPr>
                          <w:rFonts w:eastAsia="Times New Roman"/>
                        </w:rPr>
                        <w:t>messages that resonate</w:t>
                      </w:r>
                      <w:r>
                        <w:rPr>
                          <w:rFonts w:eastAsia="Times New Roman"/>
                        </w:rPr>
                        <w:t xml:space="preserve"> with society </w:t>
                      </w:r>
                    </w:p>
                    <w:p w14:paraId="22C23484" w14:textId="77777777" w:rsidR="00F96E29" w:rsidRPr="0074275B" w:rsidRDefault="00F96E29" w:rsidP="00ED5ECA">
                      <w:pPr>
                        <w:rPr>
                          <w:rFonts w:eastAsia="Times New Roman" w:cs="Palatino Linotype"/>
                          <w:b/>
                          <w:bCs/>
                        </w:rPr>
                      </w:pPr>
                      <w:r>
                        <w:rPr>
                          <w:rFonts w:eastAsia="Times New Roman" w:cs="Palatino Linotype"/>
                          <w:b/>
                          <w:bCs/>
                          <w:color w:val="939597"/>
                        </w:rPr>
                        <w:t>3</w:t>
                      </w:r>
                      <w:r w:rsidRPr="00177975">
                        <w:rPr>
                          <w:rFonts w:eastAsia="Times New Roman" w:cs="Palatino Linotype"/>
                          <w:b/>
                          <w:bCs/>
                          <w:color w:val="939597"/>
                        </w:rPr>
                        <w:t>.4</w:t>
                      </w:r>
                      <w:r>
                        <w:rPr>
                          <w:rFonts w:eastAsia="Times New Roman" w:cs="Palatino Linotype"/>
                          <w:b/>
                          <w:bCs/>
                          <w:color w:val="939597"/>
                        </w:rPr>
                        <w:t xml:space="preserve"> </w:t>
                      </w:r>
                      <w:r>
                        <w:rPr>
                          <w:rFonts w:eastAsia="Times New Roman"/>
                        </w:rPr>
                        <w:t>Drive</w:t>
                      </w:r>
                      <w:r w:rsidRPr="0074275B">
                        <w:rPr>
                          <w:rFonts w:eastAsia="Times New Roman"/>
                        </w:rPr>
                        <w:t xml:space="preserve"> education and training initiatives across all relevant sectors and increase accessibility to evidence-based best-practice information</w:t>
                      </w:r>
                    </w:p>
                  </w:txbxContent>
                </v:textbox>
                <w10:anchorlock/>
              </v:shape>
            </w:pict>
          </mc:Fallback>
        </mc:AlternateContent>
      </w:r>
    </w:p>
    <w:p w14:paraId="5F4403EE" w14:textId="6EAD689C" w:rsidR="00CF48AF" w:rsidRPr="006E255B" w:rsidRDefault="00AF233E" w:rsidP="00666DF7">
      <w:pPr>
        <w:spacing w:after="120" w:line="240" w:lineRule="auto"/>
        <w:rPr>
          <w:rFonts w:ascii="Calibri Light" w:hAnsi="Calibri Light" w:cs="Calibri Light"/>
        </w:rPr>
      </w:pPr>
      <w:r w:rsidRPr="006E255B">
        <w:rPr>
          <w:rFonts w:ascii="Calibri Light" w:hAnsi="Calibri Light" w:cs="Calibri Light"/>
        </w:rPr>
        <w:t>Expanding</w:t>
      </w:r>
      <w:r w:rsidR="008E3AD8" w:rsidRPr="006E255B">
        <w:rPr>
          <w:rFonts w:ascii="Calibri Light" w:hAnsi="Calibri Light" w:cs="Calibri Light"/>
        </w:rPr>
        <w:t xml:space="preserve"> </w:t>
      </w:r>
      <w:r w:rsidR="00445018" w:rsidRPr="006E255B">
        <w:rPr>
          <w:rFonts w:ascii="Calibri Light" w:hAnsi="Calibri Light" w:cs="Calibri Light"/>
        </w:rPr>
        <w:t xml:space="preserve">the </w:t>
      </w:r>
      <w:r w:rsidR="008E3AD8" w:rsidRPr="006E255B">
        <w:rPr>
          <w:rFonts w:ascii="Calibri Light" w:hAnsi="Calibri Light" w:cs="Calibri Light"/>
        </w:rPr>
        <w:t xml:space="preserve">commitment </w:t>
      </w:r>
      <w:r w:rsidRPr="006E255B">
        <w:rPr>
          <w:rFonts w:ascii="Calibri Light" w:hAnsi="Calibri Light" w:cs="Calibri Light"/>
        </w:rPr>
        <w:t xml:space="preserve">to combat antimicrobial resistance, and </w:t>
      </w:r>
      <w:r w:rsidR="00445018" w:rsidRPr="006E255B">
        <w:rPr>
          <w:rFonts w:ascii="Calibri Light" w:hAnsi="Calibri Light" w:cs="Calibri Light"/>
        </w:rPr>
        <w:t xml:space="preserve">boosting </w:t>
      </w:r>
      <w:r w:rsidR="00D976E9" w:rsidRPr="006E255B">
        <w:rPr>
          <w:rFonts w:ascii="Calibri Light" w:hAnsi="Calibri Light" w:cs="Calibri Light"/>
        </w:rPr>
        <w:t xml:space="preserve">the </w:t>
      </w:r>
      <w:r w:rsidR="00445018" w:rsidRPr="006E255B">
        <w:rPr>
          <w:rFonts w:ascii="Calibri Light" w:hAnsi="Calibri Light" w:cs="Calibri Light"/>
        </w:rPr>
        <w:t xml:space="preserve">engagement </w:t>
      </w:r>
      <w:r w:rsidR="00D976E9" w:rsidRPr="006E255B">
        <w:rPr>
          <w:rFonts w:ascii="Calibri Light" w:hAnsi="Calibri Light" w:cs="Calibri Light"/>
        </w:rPr>
        <w:t>of Australian</w:t>
      </w:r>
      <w:r w:rsidR="00034684" w:rsidRPr="006E255B">
        <w:rPr>
          <w:rFonts w:ascii="Calibri Light" w:hAnsi="Calibri Light" w:cs="Calibri Light"/>
        </w:rPr>
        <w:t>s</w:t>
      </w:r>
      <w:r w:rsidR="00D976E9" w:rsidRPr="006E255B">
        <w:rPr>
          <w:rFonts w:ascii="Calibri Light" w:hAnsi="Calibri Light" w:cs="Calibri Light"/>
        </w:rPr>
        <w:t xml:space="preserve"> </w:t>
      </w:r>
      <w:r w:rsidR="008E3AD8" w:rsidRPr="006E255B">
        <w:rPr>
          <w:rFonts w:ascii="Calibri Light" w:hAnsi="Calibri Light" w:cs="Calibri Light"/>
        </w:rPr>
        <w:t>across all sectors</w:t>
      </w:r>
      <w:r w:rsidRPr="006E255B">
        <w:rPr>
          <w:rFonts w:ascii="Calibri Light" w:hAnsi="Calibri Light" w:cs="Calibri Light"/>
        </w:rPr>
        <w:t xml:space="preserve">, </w:t>
      </w:r>
      <w:r w:rsidR="008E3AD8" w:rsidRPr="006E255B">
        <w:rPr>
          <w:rFonts w:ascii="Calibri Light" w:hAnsi="Calibri Light" w:cs="Calibri Light"/>
        </w:rPr>
        <w:t>and among all members of society</w:t>
      </w:r>
      <w:r w:rsidRPr="006E255B">
        <w:rPr>
          <w:rFonts w:ascii="Calibri Light" w:hAnsi="Calibri Light" w:cs="Calibri Light"/>
        </w:rPr>
        <w:t>,</w:t>
      </w:r>
      <w:r w:rsidR="008E3AD8" w:rsidRPr="006E255B">
        <w:rPr>
          <w:rFonts w:ascii="Calibri Light" w:hAnsi="Calibri Light" w:cs="Calibri Light"/>
        </w:rPr>
        <w:t xml:space="preserve"> will be essential to the Strategy</w:t>
      </w:r>
      <w:r w:rsidR="000D6475">
        <w:rPr>
          <w:rFonts w:ascii="Calibri Light" w:hAnsi="Calibri Light" w:cs="Calibri Light"/>
        </w:rPr>
        <w:t>’</w:t>
      </w:r>
      <w:r w:rsidR="008E3AD8" w:rsidRPr="006E255B">
        <w:rPr>
          <w:rFonts w:ascii="Calibri Light" w:hAnsi="Calibri Light" w:cs="Calibri Light"/>
        </w:rPr>
        <w:t>s success. Hence c</w:t>
      </w:r>
      <w:r w:rsidR="008E780F" w:rsidRPr="006E255B">
        <w:rPr>
          <w:rFonts w:ascii="Calibri Light" w:hAnsi="Calibri Light" w:cs="Calibri Light"/>
        </w:rPr>
        <w:t xml:space="preserve">ommunication, education and training </w:t>
      </w:r>
      <w:r w:rsidR="00034684" w:rsidRPr="006E255B">
        <w:rPr>
          <w:rFonts w:ascii="Calibri Light" w:hAnsi="Calibri Light" w:cs="Calibri Light"/>
        </w:rPr>
        <w:t>are</w:t>
      </w:r>
      <w:r w:rsidR="00F6704F" w:rsidRPr="006E255B">
        <w:rPr>
          <w:rFonts w:ascii="Calibri Light" w:hAnsi="Calibri Light" w:cs="Calibri Light"/>
        </w:rPr>
        <w:t xml:space="preserve"> not only</w:t>
      </w:r>
      <w:r w:rsidR="008E780F" w:rsidRPr="006E255B">
        <w:rPr>
          <w:rFonts w:ascii="Calibri Light" w:hAnsi="Calibri Light" w:cs="Calibri Light"/>
        </w:rPr>
        <w:t xml:space="preserve"> crucial to creating deeper awareness and understanding </w:t>
      </w:r>
      <w:r w:rsidR="00F6704F" w:rsidRPr="006E255B">
        <w:rPr>
          <w:rFonts w:ascii="Calibri Light" w:hAnsi="Calibri Light" w:cs="Calibri Light"/>
        </w:rPr>
        <w:t xml:space="preserve">of </w:t>
      </w:r>
      <w:r w:rsidR="00445018" w:rsidRPr="006E255B">
        <w:rPr>
          <w:rFonts w:ascii="Calibri Light" w:hAnsi="Calibri Light" w:cs="Calibri Light"/>
        </w:rPr>
        <w:t>the challenge</w:t>
      </w:r>
      <w:r w:rsidR="00F22059" w:rsidRPr="006E255B">
        <w:rPr>
          <w:rFonts w:ascii="Calibri Light" w:hAnsi="Calibri Light" w:cs="Calibri Light"/>
        </w:rPr>
        <w:t>, but vital in empowering</w:t>
      </w:r>
      <w:r w:rsidR="00F6704F" w:rsidRPr="006E255B">
        <w:rPr>
          <w:rFonts w:ascii="Calibri Light" w:hAnsi="Calibri Light" w:cs="Calibri Light"/>
        </w:rPr>
        <w:t xml:space="preserve"> communit</w:t>
      </w:r>
      <w:r w:rsidR="00D976E9" w:rsidRPr="006E255B">
        <w:rPr>
          <w:rFonts w:ascii="Calibri Light" w:hAnsi="Calibri Light" w:cs="Calibri Light"/>
        </w:rPr>
        <w:t>ies</w:t>
      </w:r>
      <w:r w:rsidR="00626C79" w:rsidRPr="006E255B">
        <w:rPr>
          <w:rFonts w:ascii="Calibri Light" w:hAnsi="Calibri Light" w:cs="Calibri Light"/>
        </w:rPr>
        <w:t xml:space="preserve"> to take ownership of the issue and </w:t>
      </w:r>
      <w:r w:rsidR="00034684" w:rsidRPr="006E255B">
        <w:rPr>
          <w:rFonts w:ascii="Calibri Light" w:hAnsi="Calibri Light" w:cs="Calibri Light"/>
        </w:rPr>
        <w:t>share</w:t>
      </w:r>
      <w:r w:rsidR="00F6704F" w:rsidRPr="006E255B">
        <w:rPr>
          <w:rFonts w:ascii="Calibri Light" w:hAnsi="Calibri Light" w:cs="Calibri Light"/>
        </w:rPr>
        <w:t xml:space="preserve"> in the response</w:t>
      </w:r>
      <w:r w:rsidR="00034684" w:rsidRPr="006E255B">
        <w:rPr>
          <w:rFonts w:ascii="Calibri Light" w:hAnsi="Calibri Light" w:cs="Calibri Light"/>
        </w:rPr>
        <w:t>.</w:t>
      </w:r>
    </w:p>
    <w:p w14:paraId="4F57BBE5" w14:textId="77777777" w:rsidR="00CF48AF" w:rsidRPr="006E255B" w:rsidRDefault="001373D2" w:rsidP="00274F21">
      <w:pPr>
        <w:spacing w:after="120" w:line="240" w:lineRule="auto"/>
        <w:rPr>
          <w:rFonts w:ascii="Calibri Light" w:hAnsi="Calibri Light" w:cs="Calibri Light"/>
        </w:rPr>
      </w:pPr>
      <w:r w:rsidRPr="006E255B">
        <w:rPr>
          <w:rFonts w:ascii="Calibri Light" w:hAnsi="Calibri Light" w:cs="Calibri Light"/>
        </w:rPr>
        <w:t>This</w:t>
      </w:r>
      <w:r w:rsidR="00CF48AF" w:rsidRPr="006E255B">
        <w:rPr>
          <w:rFonts w:ascii="Calibri Light" w:hAnsi="Calibri Light" w:cs="Calibri Light"/>
        </w:rPr>
        <w:t xml:space="preserve"> can help improve understanding of </w:t>
      </w:r>
      <w:r w:rsidRPr="006E255B">
        <w:rPr>
          <w:rFonts w:ascii="Calibri Light" w:hAnsi="Calibri Light" w:cs="Calibri Light"/>
        </w:rPr>
        <w:t xml:space="preserve">both </w:t>
      </w:r>
      <w:r w:rsidR="00CF48AF" w:rsidRPr="006E255B">
        <w:rPr>
          <w:rFonts w:ascii="Calibri Light" w:hAnsi="Calibri Light" w:cs="Calibri Light"/>
        </w:rPr>
        <w:t>the causes</w:t>
      </w:r>
      <w:r w:rsidR="00A3033B" w:rsidRPr="006E255B">
        <w:rPr>
          <w:rFonts w:ascii="Calibri Light" w:hAnsi="Calibri Light" w:cs="Calibri Light"/>
        </w:rPr>
        <w:t xml:space="preserve"> </w:t>
      </w:r>
      <w:r w:rsidR="00CF48AF" w:rsidRPr="006E255B">
        <w:rPr>
          <w:rFonts w:ascii="Calibri Light" w:hAnsi="Calibri Light" w:cs="Calibri Light"/>
        </w:rPr>
        <w:t xml:space="preserve">and </w:t>
      </w:r>
      <w:r w:rsidRPr="006E255B">
        <w:rPr>
          <w:rFonts w:ascii="Calibri Light" w:hAnsi="Calibri Light" w:cs="Calibri Light"/>
        </w:rPr>
        <w:t xml:space="preserve">the </w:t>
      </w:r>
      <w:r w:rsidR="00CF48AF" w:rsidRPr="006E255B">
        <w:rPr>
          <w:rFonts w:ascii="Calibri Light" w:hAnsi="Calibri Light" w:cs="Calibri Light"/>
        </w:rPr>
        <w:t>effects</w:t>
      </w:r>
      <w:r w:rsidR="0021218A" w:rsidRPr="006E255B">
        <w:rPr>
          <w:rFonts w:ascii="Calibri Light" w:hAnsi="Calibri Light" w:cs="Calibri Light"/>
        </w:rPr>
        <w:t xml:space="preserve"> </w:t>
      </w:r>
      <w:r w:rsidR="00CF48AF" w:rsidRPr="006E255B">
        <w:rPr>
          <w:rFonts w:ascii="Calibri Light" w:hAnsi="Calibri Light" w:cs="Calibri Light"/>
        </w:rPr>
        <w:t xml:space="preserve">of </w:t>
      </w:r>
      <w:r w:rsidR="000B7888" w:rsidRPr="006E255B">
        <w:rPr>
          <w:rFonts w:ascii="Calibri Light" w:hAnsi="Calibri Light" w:cs="Calibri Light"/>
        </w:rPr>
        <w:t>antimicrobial resistance</w:t>
      </w:r>
      <w:r w:rsidR="00742E84" w:rsidRPr="006E255B">
        <w:rPr>
          <w:rFonts w:ascii="Calibri Light" w:hAnsi="Calibri Light" w:cs="Calibri Light"/>
        </w:rPr>
        <w:t xml:space="preserve">, including its potential </w:t>
      </w:r>
      <w:r w:rsidR="009B6E79" w:rsidRPr="006E255B">
        <w:rPr>
          <w:rFonts w:ascii="Calibri Light" w:hAnsi="Calibri Light" w:cs="Calibri Light"/>
        </w:rPr>
        <w:t xml:space="preserve">to </w:t>
      </w:r>
      <w:r w:rsidR="008D7AFD">
        <w:rPr>
          <w:rFonts w:ascii="Calibri Light" w:hAnsi="Calibri Light" w:cs="Calibri Light"/>
        </w:rPr>
        <w:t xml:space="preserve">jeopardise </w:t>
      </w:r>
      <w:r w:rsidR="00BB19AC">
        <w:rPr>
          <w:rFonts w:ascii="Calibri Light" w:hAnsi="Calibri Light" w:cs="Calibri Light"/>
        </w:rPr>
        <w:t xml:space="preserve">health, </w:t>
      </w:r>
      <w:r w:rsidR="00742E84" w:rsidRPr="006E255B">
        <w:rPr>
          <w:rFonts w:ascii="Calibri Light" w:hAnsi="Calibri Light" w:cs="Calibri Light"/>
        </w:rPr>
        <w:t>the environment and</w:t>
      </w:r>
      <w:r w:rsidR="009B6E79" w:rsidRPr="006E255B">
        <w:rPr>
          <w:rFonts w:ascii="Calibri Light" w:hAnsi="Calibri Light" w:cs="Calibri Light"/>
        </w:rPr>
        <w:t xml:space="preserve"> the availability and affordability of food.</w:t>
      </w:r>
      <w:r w:rsidR="005F75C9" w:rsidRPr="006E255B">
        <w:rPr>
          <w:rFonts w:ascii="Calibri Light" w:hAnsi="Calibri Light" w:cs="Calibri Light"/>
        </w:rPr>
        <w:t xml:space="preserve"> It </w:t>
      </w:r>
      <w:r w:rsidR="00742E84" w:rsidRPr="006E255B">
        <w:rPr>
          <w:rFonts w:ascii="Calibri Light" w:hAnsi="Calibri Light" w:cs="Calibri Light"/>
        </w:rPr>
        <w:t xml:space="preserve">can also </w:t>
      </w:r>
      <w:r w:rsidR="005F75C9" w:rsidRPr="006E255B">
        <w:rPr>
          <w:rFonts w:ascii="Calibri Light" w:hAnsi="Calibri Light" w:cs="Calibri Light"/>
        </w:rPr>
        <w:t>assist</w:t>
      </w:r>
      <w:r w:rsidR="00CF48AF" w:rsidRPr="006E255B">
        <w:rPr>
          <w:rFonts w:ascii="Calibri Light" w:hAnsi="Calibri Light" w:cs="Calibri Light"/>
        </w:rPr>
        <w:t xml:space="preserve"> </w:t>
      </w:r>
      <w:r w:rsidR="005F75C9" w:rsidRPr="006E255B">
        <w:rPr>
          <w:rFonts w:ascii="Calibri Light" w:hAnsi="Calibri Light" w:cs="Calibri Light"/>
        </w:rPr>
        <w:t>better-</w:t>
      </w:r>
      <w:r w:rsidR="00CF48AF" w:rsidRPr="006E255B">
        <w:rPr>
          <w:rFonts w:ascii="Calibri Light" w:hAnsi="Calibri Light" w:cs="Calibri Light"/>
        </w:rPr>
        <w:t xml:space="preserve">informed </w:t>
      </w:r>
      <w:r w:rsidR="000B7888" w:rsidRPr="006E255B">
        <w:rPr>
          <w:rFonts w:ascii="Calibri Light" w:hAnsi="Calibri Light" w:cs="Calibri Light"/>
        </w:rPr>
        <w:t>decision-making</w:t>
      </w:r>
      <w:r w:rsidR="005F75C9" w:rsidRPr="006E255B">
        <w:rPr>
          <w:rFonts w:ascii="Calibri Light" w:hAnsi="Calibri Light" w:cs="Calibri Light"/>
        </w:rPr>
        <w:t xml:space="preserve">, </w:t>
      </w:r>
      <w:r w:rsidR="00CF48AF" w:rsidRPr="006E255B">
        <w:rPr>
          <w:rFonts w:ascii="Calibri Light" w:hAnsi="Calibri Light" w:cs="Calibri Light"/>
        </w:rPr>
        <w:t>prescribing and use</w:t>
      </w:r>
      <w:r w:rsidR="00EB3EAA" w:rsidRPr="006E255B">
        <w:rPr>
          <w:rFonts w:ascii="Calibri Light" w:hAnsi="Calibri Light" w:cs="Calibri Light"/>
        </w:rPr>
        <w:t xml:space="preserve"> by </w:t>
      </w:r>
      <w:r w:rsidR="00174C21">
        <w:rPr>
          <w:rFonts w:ascii="Calibri Light" w:hAnsi="Calibri Light" w:cs="Calibri Light"/>
        </w:rPr>
        <w:t>practitioners</w:t>
      </w:r>
      <w:r w:rsidR="00EB3EAA" w:rsidRPr="006E255B">
        <w:rPr>
          <w:rFonts w:ascii="Calibri Light" w:hAnsi="Calibri Light" w:cs="Calibri Light"/>
        </w:rPr>
        <w:t>;</w:t>
      </w:r>
      <w:r w:rsidR="00CF48AF" w:rsidRPr="006E255B">
        <w:rPr>
          <w:rFonts w:ascii="Calibri Light" w:hAnsi="Calibri Light" w:cs="Calibri Light"/>
        </w:rPr>
        <w:t xml:space="preserve"> and </w:t>
      </w:r>
      <w:r w:rsidR="00EB3EAA" w:rsidRPr="006E255B">
        <w:rPr>
          <w:rFonts w:ascii="Calibri Light" w:hAnsi="Calibri Light" w:cs="Calibri Light"/>
        </w:rPr>
        <w:t>encourage</w:t>
      </w:r>
      <w:r w:rsidR="00CF48AF" w:rsidRPr="006E255B">
        <w:rPr>
          <w:rFonts w:ascii="Calibri Light" w:hAnsi="Calibri Light" w:cs="Calibri Light"/>
        </w:rPr>
        <w:t xml:space="preserve"> </w:t>
      </w:r>
      <w:r w:rsidR="00F33021" w:rsidRPr="006E255B">
        <w:rPr>
          <w:rFonts w:ascii="Calibri Light" w:hAnsi="Calibri Light" w:cs="Calibri Light"/>
        </w:rPr>
        <w:t>behaviour</w:t>
      </w:r>
      <w:r w:rsidR="00CF48AF" w:rsidRPr="006E255B">
        <w:rPr>
          <w:rFonts w:ascii="Calibri Light" w:hAnsi="Calibri Light" w:cs="Calibri Light"/>
        </w:rPr>
        <w:t xml:space="preserve"> that minimise</w:t>
      </w:r>
      <w:r w:rsidR="00F33021" w:rsidRPr="006E255B">
        <w:rPr>
          <w:rFonts w:ascii="Calibri Light" w:hAnsi="Calibri Light" w:cs="Calibri Light"/>
        </w:rPr>
        <w:t>s</w:t>
      </w:r>
      <w:r w:rsidR="00CF48AF" w:rsidRPr="006E255B">
        <w:rPr>
          <w:rFonts w:ascii="Calibri Light" w:hAnsi="Calibri Light" w:cs="Calibri Light"/>
        </w:rPr>
        <w:t xml:space="preserve"> the </w:t>
      </w:r>
      <w:r w:rsidR="007854FA" w:rsidRPr="006E255B">
        <w:rPr>
          <w:rFonts w:ascii="Calibri Light" w:hAnsi="Calibri Light" w:cs="Calibri Light"/>
        </w:rPr>
        <w:t>rise</w:t>
      </w:r>
      <w:r w:rsidR="00CF48AF" w:rsidRPr="006E255B">
        <w:rPr>
          <w:rFonts w:ascii="Calibri Light" w:hAnsi="Calibri Light" w:cs="Calibri Light"/>
        </w:rPr>
        <w:t xml:space="preserve"> and spread of resistant organisms. </w:t>
      </w:r>
    </w:p>
    <w:p w14:paraId="73D01263" w14:textId="77777777" w:rsidR="00F33021" w:rsidRPr="006E255B" w:rsidRDefault="00F33021" w:rsidP="00F33021">
      <w:pPr>
        <w:spacing w:after="120" w:line="240" w:lineRule="auto"/>
        <w:rPr>
          <w:rFonts w:ascii="Calibri Light" w:hAnsi="Calibri Light" w:cs="Calibri Light"/>
        </w:rPr>
      </w:pPr>
      <w:r w:rsidRPr="006E255B">
        <w:rPr>
          <w:rFonts w:ascii="Calibri Light" w:hAnsi="Calibri Light" w:cs="Calibri Light"/>
        </w:rPr>
        <w:t xml:space="preserve">Such efforts need to be </w:t>
      </w:r>
      <w:r w:rsidR="00D04A24" w:rsidRPr="006E255B">
        <w:rPr>
          <w:rFonts w:ascii="Calibri Light" w:hAnsi="Calibri Light" w:cs="Calibri Light"/>
        </w:rPr>
        <w:t>coordinated, and</w:t>
      </w:r>
      <w:r w:rsidRPr="006E255B">
        <w:rPr>
          <w:rFonts w:ascii="Calibri Light" w:hAnsi="Calibri Light" w:cs="Calibri Light"/>
        </w:rPr>
        <w:t xml:space="preserve"> </w:t>
      </w:r>
      <w:r w:rsidR="00D04A24" w:rsidRPr="006E255B">
        <w:rPr>
          <w:rFonts w:ascii="Calibri Light" w:hAnsi="Calibri Light" w:cs="Calibri Light"/>
        </w:rPr>
        <w:t xml:space="preserve">must </w:t>
      </w:r>
      <w:r w:rsidRPr="006E255B">
        <w:rPr>
          <w:rFonts w:ascii="Calibri Light" w:hAnsi="Calibri Light" w:cs="Calibri Light"/>
        </w:rPr>
        <w:t xml:space="preserve">aim </w:t>
      </w:r>
      <w:r w:rsidR="00D04A24" w:rsidRPr="006E255B">
        <w:rPr>
          <w:rFonts w:ascii="Calibri Light" w:hAnsi="Calibri Light" w:cs="Calibri Light"/>
        </w:rPr>
        <w:t>to</w:t>
      </w:r>
      <w:r w:rsidRPr="006E255B">
        <w:rPr>
          <w:rFonts w:ascii="Calibri Light" w:hAnsi="Calibri Light" w:cs="Calibri Light"/>
        </w:rPr>
        <w:t xml:space="preserve"> </w:t>
      </w:r>
      <w:r w:rsidR="00D04A24" w:rsidRPr="006E255B">
        <w:rPr>
          <w:rFonts w:ascii="Calibri Light" w:hAnsi="Calibri Light" w:cs="Calibri Light"/>
        </w:rPr>
        <w:t xml:space="preserve">both </w:t>
      </w:r>
      <w:r w:rsidRPr="006E255B">
        <w:rPr>
          <w:rFonts w:ascii="Calibri Light" w:hAnsi="Calibri Light" w:cs="Calibri Light"/>
        </w:rPr>
        <w:t xml:space="preserve">change behaviour and </w:t>
      </w:r>
      <w:r w:rsidR="00D04A24" w:rsidRPr="006E255B">
        <w:rPr>
          <w:rFonts w:ascii="Calibri Light" w:hAnsi="Calibri Light" w:cs="Calibri Light"/>
        </w:rPr>
        <w:t xml:space="preserve">encourage </w:t>
      </w:r>
      <w:r w:rsidRPr="006E255B">
        <w:rPr>
          <w:rFonts w:ascii="Calibri Light" w:hAnsi="Calibri Light" w:cs="Calibri Light"/>
        </w:rPr>
        <w:t xml:space="preserve">concrete actions </w:t>
      </w:r>
      <w:r w:rsidR="0053075D" w:rsidRPr="006E255B">
        <w:rPr>
          <w:rFonts w:ascii="Calibri Light" w:hAnsi="Calibri Light" w:cs="Calibri Light"/>
        </w:rPr>
        <w:t>that</w:t>
      </w:r>
      <w:r w:rsidRPr="006E255B">
        <w:rPr>
          <w:rFonts w:ascii="Calibri Light" w:hAnsi="Calibri Light" w:cs="Calibri Light"/>
        </w:rPr>
        <w:t xml:space="preserve"> reduce inappropriate antimicrobial use and the spread of resistant organisms. Understanding the variety of factors that influence prescribing and antimicrobial use remains a challenge. However, identifying champions </w:t>
      </w:r>
      <w:r w:rsidR="0077230A" w:rsidRPr="006E255B">
        <w:rPr>
          <w:rFonts w:ascii="Calibri Light" w:hAnsi="Calibri Light" w:cs="Calibri Light"/>
        </w:rPr>
        <w:t xml:space="preserve">in each sector, </w:t>
      </w:r>
      <w:r w:rsidRPr="006E255B">
        <w:rPr>
          <w:rFonts w:ascii="Calibri Light" w:hAnsi="Calibri Light" w:cs="Calibri Light"/>
        </w:rPr>
        <w:t xml:space="preserve">and enlisting the help of </w:t>
      </w:r>
      <w:r w:rsidR="0077230A" w:rsidRPr="006E255B">
        <w:rPr>
          <w:rFonts w:ascii="Calibri Light" w:hAnsi="Calibri Light" w:cs="Calibri Light"/>
        </w:rPr>
        <w:t>players</w:t>
      </w:r>
      <w:r w:rsidR="001C715A" w:rsidRPr="006E255B">
        <w:rPr>
          <w:rFonts w:ascii="Calibri Light" w:hAnsi="Calibri Light" w:cs="Calibri Light"/>
        </w:rPr>
        <w:t xml:space="preserve"> outside of the </w:t>
      </w:r>
      <w:r w:rsidR="00773070">
        <w:rPr>
          <w:rFonts w:ascii="Calibri Light" w:hAnsi="Calibri Light" w:cs="Calibri Light"/>
        </w:rPr>
        <w:t xml:space="preserve">human, animal and environmental </w:t>
      </w:r>
      <w:r w:rsidR="001C715A" w:rsidRPr="006E255B">
        <w:rPr>
          <w:rFonts w:ascii="Calibri Light" w:hAnsi="Calibri Light" w:cs="Calibri Light"/>
        </w:rPr>
        <w:t xml:space="preserve">health </w:t>
      </w:r>
      <w:r w:rsidR="0077230A" w:rsidRPr="006E255B">
        <w:rPr>
          <w:rFonts w:ascii="Calibri Light" w:hAnsi="Calibri Light" w:cs="Calibri Light"/>
        </w:rPr>
        <w:t>space</w:t>
      </w:r>
      <w:r w:rsidR="001C715A" w:rsidRPr="006E255B">
        <w:rPr>
          <w:rFonts w:ascii="Calibri Light" w:hAnsi="Calibri Light" w:cs="Calibri Light"/>
        </w:rPr>
        <w:t xml:space="preserve"> – </w:t>
      </w:r>
      <w:r w:rsidRPr="006E255B">
        <w:rPr>
          <w:rFonts w:ascii="Calibri Light" w:hAnsi="Calibri Light" w:cs="Calibri Light"/>
        </w:rPr>
        <w:t xml:space="preserve">such as </w:t>
      </w:r>
      <w:r w:rsidR="001C715A" w:rsidRPr="006E255B">
        <w:rPr>
          <w:rFonts w:ascii="Calibri Light" w:hAnsi="Calibri Light" w:cs="Calibri Light"/>
        </w:rPr>
        <w:t xml:space="preserve">social science </w:t>
      </w:r>
      <w:r w:rsidRPr="006E255B">
        <w:rPr>
          <w:rFonts w:ascii="Calibri Light" w:hAnsi="Calibri Light" w:cs="Calibri Light"/>
        </w:rPr>
        <w:t>experts, civil society and advocacy group</w:t>
      </w:r>
      <w:r w:rsidR="001C715A" w:rsidRPr="006E255B">
        <w:rPr>
          <w:rFonts w:ascii="Calibri Light" w:hAnsi="Calibri Light" w:cs="Calibri Light"/>
        </w:rPr>
        <w:t>s –</w:t>
      </w:r>
      <w:r w:rsidRPr="006E255B">
        <w:rPr>
          <w:rFonts w:ascii="Calibri Light" w:hAnsi="Calibri Light" w:cs="Calibri Light"/>
        </w:rPr>
        <w:t xml:space="preserve"> </w:t>
      </w:r>
      <w:r w:rsidR="0077230A" w:rsidRPr="006E255B">
        <w:rPr>
          <w:rFonts w:ascii="Calibri Light" w:hAnsi="Calibri Light" w:cs="Calibri Light"/>
        </w:rPr>
        <w:t>would help</w:t>
      </w:r>
      <w:r w:rsidRPr="006E255B">
        <w:rPr>
          <w:rFonts w:ascii="Calibri Light" w:hAnsi="Calibri Light" w:cs="Calibri Light"/>
        </w:rPr>
        <w:t xml:space="preserve"> improve the public</w:t>
      </w:r>
      <w:r w:rsidR="000D6475">
        <w:rPr>
          <w:rFonts w:ascii="Calibri Light" w:hAnsi="Calibri Light" w:cs="Calibri Light"/>
        </w:rPr>
        <w:t>’</w:t>
      </w:r>
      <w:r w:rsidRPr="006E255B">
        <w:rPr>
          <w:rFonts w:ascii="Calibri Light" w:hAnsi="Calibri Light" w:cs="Calibri Light"/>
        </w:rPr>
        <w:t xml:space="preserve">s understanding </w:t>
      </w:r>
      <w:r w:rsidR="00782490" w:rsidRPr="006E255B">
        <w:rPr>
          <w:rFonts w:ascii="Calibri Light" w:hAnsi="Calibri Light" w:cs="Calibri Light"/>
        </w:rPr>
        <w:t xml:space="preserve">and commitment to </w:t>
      </w:r>
      <w:r w:rsidR="00C32249" w:rsidRPr="006E255B">
        <w:rPr>
          <w:rFonts w:ascii="Calibri Light" w:hAnsi="Calibri Light" w:cs="Calibri Light"/>
        </w:rPr>
        <w:t>fight</w:t>
      </w:r>
      <w:r w:rsidR="00782490" w:rsidRPr="006E255B">
        <w:rPr>
          <w:rFonts w:ascii="Calibri Light" w:hAnsi="Calibri Light" w:cs="Calibri Light"/>
        </w:rPr>
        <w:t xml:space="preserve"> </w:t>
      </w:r>
      <w:r w:rsidRPr="006E255B">
        <w:rPr>
          <w:rFonts w:ascii="Calibri Light" w:hAnsi="Calibri Light" w:cs="Calibri Light"/>
        </w:rPr>
        <w:t xml:space="preserve">antimicrobial resistance. </w:t>
      </w:r>
    </w:p>
    <w:p w14:paraId="105E43C6" w14:textId="77777777" w:rsidR="00111DBE" w:rsidRPr="006E255B" w:rsidRDefault="00111DBE" w:rsidP="00111DBE">
      <w:pPr>
        <w:spacing w:after="120" w:line="240" w:lineRule="auto"/>
        <w:rPr>
          <w:rFonts w:ascii="Calibri Light" w:hAnsi="Calibri Light" w:cs="Calibri Light"/>
        </w:rPr>
      </w:pPr>
      <w:r w:rsidRPr="006E255B">
        <w:rPr>
          <w:rFonts w:ascii="Calibri Light" w:hAnsi="Calibri Light" w:cs="Calibri Light"/>
        </w:rPr>
        <w:t xml:space="preserve">Reinforcing the </w:t>
      </w:r>
      <w:r w:rsidR="0018027E" w:rsidRPr="006E255B">
        <w:rPr>
          <w:rFonts w:ascii="Calibri Light" w:hAnsi="Calibri Light" w:cs="Calibri Light"/>
        </w:rPr>
        <w:t>Strategy</w:t>
      </w:r>
      <w:r w:rsidR="000D6475">
        <w:rPr>
          <w:rFonts w:ascii="Calibri Light" w:hAnsi="Calibri Light" w:cs="Calibri Light"/>
        </w:rPr>
        <w:t>’</w:t>
      </w:r>
      <w:r w:rsidR="0018027E" w:rsidRPr="006E255B">
        <w:rPr>
          <w:rFonts w:ascii="Calibri Light" w:hAnsi="Calibri Light" w:cs="Calibri Light"/>
        </w:rPr>
        <w:t xml:space="preserve">s </w:t>
      </w:r>
      <w:r w:rsidRPr="006E255B">
        <w:rPr>
          <w:rFonts w:ascii="Calibri Light" w:hAnsi="Calibri Light" w:cs="Calibri Light"/>
        </w:rPr>
        <w:t xml:space="preserve">One Health approach to antimicrobial resistance </w:t>
      </w:r>
      <w:r w:rsidR="0018027E" w:rsidRPr="006E255B">
        <w:rPr>
          <w:rFonts w:ascii="Calibri Light" w:hAnsi="Calibri Light" w:cs="Calibri Light"/>
        </w:rPr>
        <w:t>will be important</w:t>
      </w:r>
      <w:r w:rsidRPr="006E255B">
        <w:rPr>
          <w:rFonts w:ascii="Calibri Light" w:hAnsi="Calibri Light" w:cs="Calibri Light"/>
        </w:rPr>
        <w:t xml:space="preserve">. Tailored education and training resources and tools </w:t>
      </w:r>
      <w:r w:rsidR="00F94810">
        <w:rPr>
          <w:rFonts w:ascii="Calibri Light" w:hAnsi="Calibri Light" w:cs="Calibri Light"/>
        </w:rPr>
        <w:t>to</w:t>
      </w:r>
      <w:r w:rsidR="00F94810" w:rsidRPr="006E255B">
        <w:rPr>
          <w:rFonts w:ascii="Calibri Light" w:hAnsi="Calibri Light" w:cs="Calibri Light"/>
        </w:rPr>
        <w:t xml:space="preserve"> </w:t>
      </w:r>
      <w:r w:rsidRPr="006E255B">
        <w:rPr>
          <w:rFonts w:ascii="Calibri Light" w:hAnsi="Calibri Light" w:cs="Calibri Light"/>
        </w:rPr>
        <w:t xml:space="preserve">support </w:t>
      </w:r>
      <w:r w:rsidR="00E92E85" w:rsidRPr="006E255B">
        <w:rPr>
          <w:rFonts w:ascii="Calibri Light" w:hAnsi="Calibri Light" w:cs="Calibri Light"/>
        </w:rPr>
        <w:t xml:space="preserve">participants in </w:t>
      </w:r>
      <w:r w:rsidR="0018027E" w:rsidRPr="006E255B">
        <w:rPr>
          <w:rFonts w:ascii="Calibri Light" w:hAnsi="Calibri Light" w:cs="Calibri Light"/>
        </w:rPr>
        <w:t xml:space="preserve">all sectors </w:t>
      </w:r>
      <w:r w:rsidR="00E92E85" w:rsidRPr="006E255B">
        <w:rPr>
          <w:rFonts w:ascii="Calibri Light" w:hAnsi="Calibri Light" w:cs="Calibri Light"/>
        </w:rPr>
        <w:t>to</w:t>
      </w:r>
      <w:r w:rsidR="0018027E" w:rsidRPr="006E255B">
        <w:rPr>
          <w:rFonts w:ascii="Calibri Light" w:hAnsi="Calibri Light" w:cs="Calibri Light"/>
        </w:rPr>
        <w:t xml:space="preserve"> carry out their various roles and responsibilities</w:t>
      </w:r>
      <w:r w:rsidR="00E92E85" w:rsidRPr="006E255B">
        <w:rPr>
          <w:rFonts w:ascii="Calibri Light" w:hAnsi="Calibri Light" w:cs="Calibri Light"/>
        </w:rPr>
        <w:t xml:space="preserve"> will be required, particularly </w:t>
      </w:r>
      <w:r w:rsidR="00942666" w:rsidRPr="006E255B">
        <w:rPr>
          <w:rFonts w:ascii="Calibri Light" w:hAnsi="Calibri Light" w:cs="Calibri Light"/>
        </w:rPr>
        <w:t>around topics</w:t>
      </w:r>
      <w:r w:rsidRPr="006E255B">
        <w:rPr>
          <w:rFonts w:ascii="Calibri Light" w:hAnsi="Calibri Light" w:cs="Calibri Light"/>
        </w:rPr>
        <w:t xml:space="preserve"> such as antimicrobial stewardship, infection prevention and control, </w:t>
      </w:r>
      <w:r w:rsidR="00942666" w:rsidRPr="006E255B">
        <w:rPr>
          <w:rFonts w:ascii="Calibri Light" w:hAnsi="Calibri Light" w:cs="Calibri Light"/>
        </w:rPr>
        <w:t>as well as material</w:t>
      </w:r>
      <w:r w:rsidR="00060A39" w:rsidRPr="006E255B">
        <w:rPr>
          <w:rFonts w:ascii="Calibri Light" w:hAnsi="Calibri Light" w:cs="Calibri Light"/>
        </w:rPr>
        <w:t>s</w:t>
      </w:r>
      <w:r w:rsidR="00942666" w:rsidRPr="006E255B">
        <w:rPr>
          <w:rFonts w:ascii="Calibri Light" w:hAnsi="Calibri Light" w:cs="Calibri Light"/>
        </w:rPr>
        <w:t xml:space="preserve"> aimed at</w:t>
      </w:r>
      <w:r w:rsidRPr="006E255B">
        <w:rPr>
          <w:rFonts w:ascii="Calibri Light" w:hAnsi="Calibri Light" w:cs="Calibri Light"/>
        </w:rPr>
        <w:t xml:space="preserve"> </w:t>
      </w:r>
      <w:r w:rsidR="00455DD3" w:rsidRPr="00455DD3">
        <w:rPr>
          <w:rFonts w:ascii="Calibri Light" w:hAnsi="Calibri Light" w:cs="Calibri Light"/>
        </w:rPr>
        <w:t>patients</w:t>
      </w:r>
      <w:r w:rsidR="0084487C">
        <w:rPr>
          <w:rFonts w:ascii="Calibri Light" w:hAnsi="Calibri Light" w:cs="Calibri Light"/>
        </w:rPr>
        <w:t>, clients</w:t>
      </w:r>
      <w:r w:rsidR="00455DD3" w:rsidRPr="00455DD3">
        <w:rPr>
          <w:rFonts w:ascii="Calibri Light" w:hAnsi="Calibri Light" w:cs="Calibri Light"/>
        </w:rPr>
        <w:t xml:space="preserve"> and consumers</w:t>
      </w:r>
      <w:r w:rsidRPr="006E255B">
        <w:rPr>
          <w:rFonts w:ascii="Calibri Light" w:hAnsi="Calibri Light" w:cs="Calibri Light"/>
        </w:rPr>
        <w:t xml:space="preserve">. </w:t>
      </w:r>
    </w:p>
    <w:p w14:paraId="0B5AB450" w14:textId="7571D37B" w:rsidR="00942666" w:rsidRPr="006E255B" w:rsidRDefault="003876E4" w:rsidP="00942666">
      <w:pPr>
        <w:spacing w:after="120" w:line="240" w:lineRule="auto"/>
        <w:rPr>
          <w:rFonts w:ascii="Calibri Light" w:hAnsi="Calibri Light" w:cs="Calibri Light"/>
        </w:rPr>
      </w:pPr>
      <w:r>
        <w:rPr>
          <w:rFonts w:ascii="Calibri Light" w:hAnsi="Calibri Light" w:cs="Calibri Light"/>
        </w:rPr>
        <w:t>C</w:t>
      </w:r>
      <w:r w:rsidR="00942666" w:rsidRPr="006E255B">
        <w:rPr>
          <w:rFonts w:ascii="Calibri Light" w:hAnsi="Calibri Light" w:cs="Calibri Light"/>
        </w:rPr>
        <w:t xml:space="preserve">ontinuous improvement </w:t>
      </w:r>
      <w:r w:rsidR="00E9142B" w:rsidRPr="006E255B">
        <w:rPr>
          <w:rFonts w:ascii="Calibri Light" w:hAnsi="Calibri Light" w:cs="Calibri Light"/>
        </w:rPr>
        <w:t>in</w:t>
      </w:r>
      <w:r w:rsidR="00942666" w:rsidRPr="006E255B">
        <w:rPr>
          <w:rFonts w:ascii="Calibri Light" w:hAnsi="Calibri Light" w:cs="Calibri Light"/>
        </w:rPr>
        <w:t xml:space="preserve"> </w:t>
      </w:r>
      <w:r w:rsidR="00060A39" w:rsidRPr="006E255B">
        <w:rPr>
          <w:rFonts w:ascii="Calibri Light" w:hAnsi="Calibri Light" w:cs="Calibri Light"/>
        </w:rPr>
        <w:t xml:space="preserve">education and training about </w:t>
      </w:r>
      <w:r w:rsidR="00942666" w:rsidRPr="006E255B">
        <w:rPr>
          <w:rFonts w:ascii="Calibri Light" w:hAnsi="Calibri Light" w:cs="Calibri Light"/>
        </w:rPr>
        <w:t xml:space="preserve">antimicrobial resistance </w:t>
      </w:r>
      <w:r w:rsidR="00281225" w:rsidRPr="006E255B">
        <w:rPr>
          <w:rFonts w:ascii="Calibri Light" w:hAnsi="Calibri Light" w:cs="Calibri Light"/>
        </w:rPr>
        <w:t xml:space="preserve">and the </w:t>
      </w:r>
      <w:r w:rsidR="00301AD7" w:rsidRPr="006E255B">
        <w:rPr>
          <w:rFonts w:ascii="Calibri Light" w:hAnsi="Calibri Light" w:cs="Calibri Light"/>
        </w:rPr>
        <w:t>Strategy</w:t>
      </w:r>
      <w:r w:rsidR="000D6475">
        <w:rPr>
          <w:rFonts w:ascii="Calibri Light" w:hAnsi="Calibri Light" w:cs="Calibri Light"/>
        </w:rPr>
        <w:t>’</w:t>
      </w:r>
      <w:r w:rsidR="00301AD7" w:rsidRPr="006E255B">
        <w:rPr>
          <w:rFonts w:ascii="Calibri Light" w:hAnsi="Calibri Light" w:cs="Calibri Light"/>
        </w:rPr>
        <w:t xml:space="preserve">s </w:t>
      </w:r>
      <w:r w:rsidR="00281225" w:rsidRPr="006E255B">
        <w:rPr>
          <w:rFonts w:ascii="Calibri Light" w:hAnsi="Calibri Light" w:cs="Calibri Light"/>
        </w:rPr>
        <w:t xml:space="preserve">One Health response </w:t>
      </w:r>
      <w:r w:rsidR="00060A39" w:rsidRPr="006E255B">
        <w:rPr>
          <w:rFonts w:ascii="Calibri Light" w:hAnsi="Calibri Light" w:cs="Calibri Light"/>
        </w:rPr>
        <w:t xml:space="preserve">will be </w:t>
      </w:r>
      <w:r w:rsidR="00E9142B" w:rsidRPr="006E255B">
        <w:rPr>
          <w:rFonts w:ascii="Calibri Light" w:hAnsi="Calibri Light" w:cs="Calibri Light"/>
        </w:rPr>
        <w:t xml:space="preserve">essential in </w:t>
      </w:r>
      <w:r w:rsidR="001B433D">
        <w:rPr>
          <w:rFonts w:ascii="Calibri Light" w:hAnsi="Calibri Light" w:cs="Calibri Light"/>
        </w:rPr>
        <w:t>developing</w:t>
      </w:r>
      <w:r w:rsidR="00942666" w:rsidRPr="006E255B">
        <w:rPr>
          <w:rFonts w:ascii="Calibri Light" w:hAnsi="Calibri Light" w:cs="Calibri Light"/>
        </w:rPr>
        <w:t xml:space="preserve"> </w:t>
      </w:r>
      <w:r w:rsidR="00E9142B" w:rsidRPr="006E255B">
        <w:rPr>
          <w:rFonts w:ascii="Calibri Light" w:hAnsi="Calibri Light" w:cs="Calibri Light"/>
        </w:rPr>
        <w:t xml:space="preserve">the </w:t>
      </w:r>
      <w:r w:rsidR="00942666" w:rsidRPr="006E255B">
        <w:rPr>
          <w:rFonts w:ascii="Calibri Light" w:hAnsi="Calibri Light" w:cs="Calibri Light"/>
        </w:rPr>
        <w:t>skills of professionals and prescribers. This includes ongoing access to professional development</w:t>
      </w:r>
      <w:r w:rsidR="00281225" w:rsidRPr="006E255B">
        <w:rPr>
          <w:rFonts w:ascii="Calibri Light" w:hAnsi="Calibri Light" w:cs="Calibri Light"/>
        </w:rPr>
        <w:t xml:space="preserve"> </w:t>
      </w:r>
      <w:r w:rsidR="00BB19AC">
        <w:rPr>
          <w:rFonts w:ascii="Calibri Light" w:hAnsi="Calibri Light" w:cs="Calibri Light"/>
        </w:rPr>
        <w:t>built</w:t>
      </w:r>
      <w:r w:rsidR="00942666" w:rsidRPr="006E255B">
        <w:rPr>
          <w:rFonts w:ascii="Calibri Light" w:hAnsi="Calibri Light" w:cs="Calibri Light"/>
        </w:rPr>
        <w:t xml:space="preserve"> on evidence-based best-practice information</w:t>
      </w:r>
      <w:r w:rsidR="00231A68">
        <w:rPr>
          <w:rFonts w:ascii="Calibri Light" w:hAnsi="Calibri Light" w:cs="Calibri Light"/>
        </w:rPr>
        <w:t>, and incorporation of AMS theory in human and animal health degrees such as medical and veterinary degrees</w:t>
      </w:r>
      <w:r w:rsidR="00942666" w:rsidRPr="006E255B">
        <w:rPr>
          <w:rFonts w:ascii="Calibri Light" w:hAnsi="Calibri Light" w:cs="Calibri Light"/>
        </w:rPr>
        <w:t>.</w:t>
      </w:r>
    </w:p>
    <w:p w14:paraId="31C40913" w14:textId="77777777" w:rsidR="00301AD7" w:rsidRPr="006E255B" w:rsidRDefault="001865B9" w:rsidP="00301AD7">
      <w:pPr>
        <w:spacing w:after="120" w:line="240" w:lineRule="auto"/>
        <w:rPr>
          <w:rFonts w:ascii="Calibri Light" w:hAnsi="Calibri Light" w:cs="Calibri Light"/>
        </w:rPr>
      </w:pPr>
      <w:r w:rsidRPr="006E255B">
        <w:rPr>
          <w:rFonts w:ascii="Calibri Light" w:hAnsi="Calibri Light" w:cs="Calibri Light"/>
        </w:rPr>
        <w:t xml:space="preserve">To </w:t>
      </w:r>
      <w:r w:rsidR="00D04DE6" w:rsidRPr="006E255B">
        <w:rPr>
          <w:rFonts w:ascii="Calibri Light" w:hAnsi="Calibri Light" w:cs="Calibri Light"/>
        </w:rPr>
        <w:t>fulfil</w:t>
      </w:r>
      <w:r w:rsidRPr="006E255B">
        <w:rPr>
          <w:rFonts w:ascii="Calibri Light" w:hAnsi="Calibri Light" w:cs="Calibri Light"/>
        </w:rPr>
        <w:t xml:space="preserve"> the Strategy</w:t>
      </w:r>
      <w:r w:rsidR="000D6475">
        <w:rPr>
          <w:rFonts w:ascii="Calibri Light" w:hAnsi="Calibri Light" w:cs="Calibri Light"/>
        </w:rPr>
        <w:t>’</w:t>
      </w:r>
      <w:r w:rsidRPr="006E255B">
        <w:rPr>
          <w:rFonts w:ascii="Calibri Light" w:hAnsi="Calibri Light" w:cs="Calibri Light"/>
        </w:rPr>
        <w:t>s goals</w:t>
      </w:r>
      <w:r w:rsidR="00D04DE6" w:rsidRPr="006E255B">
        <w:rPr>
          <w:rFonts w:ascii="Calibri Light" w:hAnsi="Calibri Light" w:cs="Calibri Light"/>
        </w:rPr>
        <w:t>, s</w:t>
      </w:r>
      <w:r w:rsidR="00301AD7" w:rsidRPr="006E255B">
        <w:rPr>
          <w:rFonts w:ascii="Calibri Light" w:hAnsi="Calibri Light" w:cs="Calibri Light"/>
        </w:rPr>
        <w:t xml:space="preserve">imple and consistent messaging </w:t>
      </w:r>
      <w:r w:rsidR="002627C5" w:rsidRPr="006E255B">
        <w:rPr>
          <w:rFonts w:ascii="Calibri Light" w:hAnsi="Calibri Light" w:cs="Calibri Light"/>
        </w:rPr>
        <w:t xml:space="preserve">on the need to </w:t>
      </w:r>
      <w:r w:rsidR="001973B8" w:rsidRPr="006E255B">
        <w:rPr>
          <w:rFonts w:ascii="Calibri Light" w:hAnsi="Calibri Light" w:cs="Calibri Light"/>
        </w:rPr>
        <w:t>minimis</w:t>
      </w:r>
      <w:r w:rsidR="002627C5" w:rsidRPr="006E255B">
        <w:rPr>
          <w:rFonts w:ascii="Calibri Light" w:hAnsi="Calibri Light" w:cs="Calibri Light"/>
        </w:rPr>
        <w:t>e</w:t>
      </w:r>
      <w:r w:rsidR="001973B8" w:rsidRPr="006E255B">
        <w:rPr>
          <w:rFonts w:ascii="Calibri Light" w:hAnsi="Calibri Light" w:cs="Calibri Light"/>
        </w:rPr>
        <w:t xml:space="preserve"> the rise and spread of resistant organisms </w:t>
      </w:r>
      <w:r w:rsidR="00301AD7" w:rsidRPr="006E255B">
        <w:rPr>
          <w:rFonts w:ascii="Calibri Light" w:hAnsi="Calibri Light" w:cs="Calibri Light"/>
        </w:rPr>
        <w:t xml:space="preserve">will </w:t>
      </w:r>
      <w:r w:rsidR="001973B8" w:rsidRPr="006E255B">
        <w:rPr>
          <w:rFonts w:ascii="Calibri Light" w:hAnsi="Calibri Light" w:cs="Calibri Light"/>
        </w:rPr>
        <w:t xml:space="preserve">be </w:t>
      </w:r>
      <w:r w:rsidR="00DB7160" w:rsidRPr="006E255B">
        <w:rPr>
          <w:rFonts w:ascii="Calibri Light" w:hAnsi="Calibri Light" w:cs="Calibri Light"/>
        </w:rPr>
        <w:t>essential</w:t>
      </w:r>
      <w:r w:rsidR="001973B8" w:rsidRPr="006E255B">
        <w:rPr>
          <w:rFonts w:ascii="Calibri Light" w:hAnsi="Calibri Light" w:cs="Calibri Light"/>
        </w:rPr>
        <w:t xml:space="preserve"> to </w:t>
      </w:r>
      <w:r w:rsidR="00301AD7" w:rsidRPr="006E255B">
        <w:rPr>
          <w:rFonts w:ascii="Calibri Light" w:hAnsi="Calibri Light" w:cs="Calibri Light"/>
        </w:rPr>
        <w:t xml:space="preserve">sustain </w:t>
      </w:r>
      <w:r w:rsidR="002627C5" w:rsidRPr="006E255B">
        <w:rPr>
          <w:rFonts w:ascii="Calibri Light" w:hAnsi="Calibri Light" w:cs="Calibri Light"/>
        </w:rPr>
        <w:t xml:space="preserve">both </w:t>
      </w:r>
      <w:r w:rsidR="00301AD7" w:rsidRPr="006E255B">
        <w:rPr>
          <w:rFonts w:ascii="Calibri Light" w:hAnsi="Calibri Light" w:cs="Calibri Light"/>
        </w:rPr>
        <w:t xml:space="preserve">public and political </w:t>
      </w:r>
      <w:r w:rsidR="00DB7160" w:rsidRPr="006E255B">
        <w:rPr>
          <w:rFonts w:ascii="Calibri Light" w:hAnsi="Calibri Light" w:cs="Calibri Light"/>
        </w:rPr>
        <w:t xml:space="preserve">support. </w:t>
      </w:r>
      <w:r w:rsidR="00D04DE6" w:rsidRPr="006E255B">
        <w:rPr>
          <w:rFonts w:ascii="Calibri Light" w:hAnsi="Calibri Light" w:cs="Calibri Light"/>
        </w:rPr>
        <w:t>A</w:t>
      </w:r>
      <w:r w:rsidR="00301AD7" w:rsidRPr="006E255B">
        <w:rPr>
          <w:rFonts w:ascii="Calibri Light" w:hAnsi="Calibri Light" w:cs="Calibri Light"/>
        </w:rPr>
        <w:t xml:space="preserve">udiences across all sectors </w:t>
      </w:r>
      <w:r w:rsidR="00D04DE6" w:rsidRPr="006E255B">
        <w:rPr>
          <w:rFonts w:ascii="Calibri Light" w:hAnsi="Calibri Light" w:cs="Calibri Light"/>
        </w:rPr>
        <w:t xml:space="preserve">– </w:t>
      </w:r>
      <w:r w:rsidR="00301AD7" w:rsidRPr="006E255B">
        <w:rPr>
          <w:rFonts w:ascii="Calibri Light" w:hAnsi="Calibri Light" w:cs="Calibri Light"/>
        </w:rPr>
        <w:t xml:space="preserve">including consumers, school </w:t>
      </w:r>
      <w:r w:rsidR="00DE01EE" w:rsidRPr="006E255B">
        <w:rPr>
          <w:rFonts w:ascii="Calibri Light" w:hAnsi="Calibri Light" w:cs="Calibri Light"/>
        </w:rPr>
        <w:t>students</w:t>
      </w:r>
      <w:r w:rsidR="00301AD7" w:rsidRPr="006E255B">
        <w:rPr>
          <w:rFonts w:ascii="Calibri Light" w:hAnsi="Calibri Light" w:cs="Calibri Light"/>
        </w:rPr>
        <w:t xml:space="preserve">, the public, </w:t>
      </w:r>
      <w:r w:rsidR="00DE01EE" w:rsidRPr="006E255B">
        <w:rPr>
          <w:rFonts w:ascii="Calibri Light" w:hAnsi="Calibri Light" w:cs="Calibri Light"/>
        </w:rPr>
        <w:t xml:space="preserve">and </w:t>
      </w:r>
      <w:r w:rsidR="0001658C">
        <w:rPr>
          <w:rFonts w:ascii="Calibri Light" w:hAnsi="Calibri Light" w:cs="Calibri Light"/>
        </w:rPr>
        <w:t>professionals</w:t>
      </w:r>
      <w:r w:rsidR="0001658C" w:rsidRPr="006E255B">
        <w:rPr>
          <w:rFonts w:ascii="Calibri Light" w:hAnsi="Calibri Light" w:cs="Calibri Light"/>
        </w:rPr>
        <w:t xml:space="preserve"> </w:t>
      </w:r>
      <w:r w:rsidR="00DE01EE" w:rsidRPr="006E255B">
        <w:rPr>
          <w:rFonts w:ascii="Calibri Light" w:hAnsi="Calibri Light" w:cs="Calibri Light"/>
        </w:rPr>
        <w:t xml:space="preserve">in the </w:t>
      </w:r>
      <w:r w:rsidR="00301AD7" w:rsidRPr="006E255B">
        <w:rPr>
          <w:rFonts w:ascii="Calibri Light" w:hAnsi="Calibri Light" w:cs="Calibri Light"/>
        </w:rPr>
        <w:t>human</w:t>
      </w:r>
      <w:r w:rsidR="0001658C">
        <w:rPr>
          <w:rFonts w:ascii="Calibri Light" w:hAnsi="Calibri Light" w:cs="Calibri Light"/>
        </w:rPr>
        <w:t>,</w:t>
      </w:r>
      <w:r w:rsidR="00301AD7" w:rsidRPr="006E255B">
        <w:rPr>
          <w:rFonts w:ascii="Calibri Light" w:hAnsi="Calibri Light" w:cs="Calibri Light"/>
        </w:rPr>
        <w:t xml:space="preserve"> animal</w:t>
      </w:r>
      <w:r w:rsidR="0001658C">
        <w:rPr>
          <w:rFonts w:ascii="Calibri Light" w:hAnsi="Calibri Light" w:cs="Calibri Light"/>
        </w:rPr>
        <w:t xml:space="preserve"> and environmental</w:t>
      </w:r>
      <w:r w:rsidR="00301AD7" w:rsidRPr="006E255B">
        <w:rPr>
          <w:rFonts w:ascii="Calibri Light" w:hAnsi="Calibri Light" w:cs="Calibri Light"/>
        </w:rPr>
        <w:t xml:space="preserve"> health</w:t>
      </w:r>
      <w:r w:rsidR="0001658C">
        <w:rPr>
          <w:rFonts w:ascii="Calibri Light" w:hAnsi="Calibri Light" w:cs="Calibri Light"/>
        </w:rPr>
        <w:t xml:space="preserve"> </w:t>
      </w:r>
      <w:r w:rsidR="00301AD7" w:rsidRPr="006E255B">
        <w:rPr>
          <w:rFonts w:ascii="Calibri Light" w:hAnsi="Calibri Light" w:cs="Calibri Light"/>
        </w:rPr>
        <w:t>sector</w:t>
      </w:r>
      <w:r w:rsidR="00DE01EE" w:rsidRPr="006E255B">
        <w:rPr>
          <w:rFonts w:ascii="Calibri Light" w:hAnsi="Calibri Light" w:cs="Calibri Light"/>
        </w:rPr>
        <w:t xml:space="preserve">s </w:t>
      </w:r>
      <w:r w:rsidR="00D04DE6" w:rsidRPr="006E255B">
        <w:rPr>
          <w:rFonts w:ascii="Calibri Light" w:hAnsi="Calibri Light" w:cs="Calibri Light"/>
        </w:rPr>
        <w:t>– will all need to be targeted</w:t>
      </w:r>
      <w:r w:rsidR="00301AD7" w:rsidRPr="006E255B">
        <w:rPr>
          <w:rFonts w:ascii="Calibri Light" w:hAnsi="Calibri Light" w:cs="Calibri Light"/>
        </w:rPr>
        <w:t>. A</w:t>
      </w:r>
      <w:r w:rsidR="002F31CE" w:rsidRPr="006E255B">
        <w:rPr>
          <w:rFonts w:ascii="Calibri Light" w:hAnsi="Calibri Light" w:cs="Calibri Light"/>
        </w:rPr>
        <w:t xml:space="preserve">n accompanying </w:t>
      </w:r>
      <w:r w:rsidR="00301AD7" w:rsidRPr="006E255B">
        <w:rPr>
          <w:rFonts w:ascii="Calibri Light" w:hAnsi="Calibri Light" w:cs="Calibri Light"/>
        </w:rPr>
        <w:t xml:space="preserve">monitoring and evaluation process will </w:t>
      </w:r>
      <w:r w:rsidR="006B3D04" w:rsidRPr="006E255B">
        <w:rPr>
          <w:rFonts w:ascii="Calibri Light" w:hAnsi="Calibri Light" w:cs="Calibri Light"/>
        </w:rPr>
        <w:t>be required</w:t>
      </w:r>
      <w:r w:rsidR="002F31CE" w:rsidRPr="006E255B">
        <w:rPr>
          <w:rFonts w:ascii="Calibri Light" w:hAnsi="Calibri Light" w:cs="Calibri Light"/>
        </w:rPr>
        <w:t xml:space="preserve"> to help quantify</w:t>
      </w:r>
      <w:r w:rsidR="00301AD7" w:rsidRPr="006E255B">
        <w:rPr>
          <w:rFonts w:ascii="Calibri Light" w:hAnsi="Calibri Light" w:cs="Calibri Light"/>
        </w:rPr>
        <w:t xml:space="preserve"> the </w:t>
      </w:r>
      <w:r w:rsidR="002F31CE" w:rsidRPr="006E255B">
        <w:rPr>
          <w:rFonts w:ascii="Calibri Light" w:hAnsi="Calibri Light" w:cs="Calibri Light"/>
        </w:rPr>
        <w:t>effectiveness</w:t>
      </w:r>
      <w:r w:rsidR="00301AD7" w:rsidRPr="006E255B">
        <w:rPr>
          <w:rFonts w:ascii="Calibri Light" w:hAnsi="Calibri Light" w:cs="Calibri Light"/>
        </w:rPr>
        <w:t xml:space="preserve"> and penetration of </w:t>
      </w:r>
      <w:r w:rsidR="002F31CE" w:rsidRPr="006E255B">
        <w:rPr>
          <w:rFonts w:ascii="Calibri Light" w:hAnsi="Calibri Light" w:cs="Calibri Light"/>
        </w:rPr>
        <w:t xml:space="preserve">the messaging </w:t>
      </w:r>
      <w:r w:rsidR="00301AD7" w:rsidRPr="006E255B">
        <w:rPr>
          <w:rFonts w:ascii="Calibri Light" w:hAnsi="Calibri Light" w:cs="Calibri Light"/>
        </w:rPr>
        <w:t>in the public consciousness, so that adjustments can be made</w:t>
      </w:r>
      <w:r w:rsidR="00231A68">
        <w:rPr>
          <w:rFonts w:ascii="Calibri Light" w:hAnsi="Calibri Light" w:cs="Calibri Light"/>
        </w:rPr>
        <w:t xml:space="preserve"> to maximise impact</w:t>
      </w:r>
      <w:r w:rsidR="00301AD7" w:rsidRPr="006E255B">
        <w:rPr>
          <w:rFonts w:ascii="Calibri Light" w:hAnsi="Calibri Light" w:cs="Calibri Light"/>
        </w:rPr>
        <w:t xml:space="preserve">. </w:t>
      </w:r>
    </w:p>
    <w:p w14:paraId="489CF797" w14:textId="77777777" w:rsidR="007B7CA4" w:rsidRPr="006E255B" w:rsidRDefault="007B7CA4">
      <w:pPr>
        <w:rPr>
          <w:b/>
          <w:smallCaps/>
          <w:sz w:val="28"/>
          <w:szCs w:val="28"/>
        </w:rPr>
      </w:pPr>
      <w:bookmarkStart w:id="42" w:name="_Toc8939438"/>
      <w:r w:rsidRPr="006E255B">
        <w:rPr>
          <w:b/>
        </w:rPr>
        <w:br w:type="page"/>
      </w:r>
    </w:p>
    <w:p w14:paraId="48D345F4" w14:textId="77777777" w:rsidR="008E780F" w:rsidRPr="006E255B" w:rsidRDefault="00263B9C" w:rsidP="00C51E89">
      <w:pPr>
        <w:pStyle w:val="Heading2"/>
        <w:numPr>
          <w:ilvl w:val="0"/>
          <w:numId w:val="14"/>
        </w:numPr>
        <w:spacing w:before="0" w:after="120" w:line="240" w:lineRule="auto"/>
        <w:rPr>
          <w:b/>
        </w:rPr>
      </w:pPr>
      <w:bookmarkStart w:id="43" w:name="_Toc18311690"/>
      <w:bookmarkEnd w:id="42"/>
      <w:r w:rsidRPr="00263B9C">
        <w:rPr>
          <w:b/>
        </w:rPr>
        <w:lastRenderedPageBreak/>
        <w:t>Appropriate Usage and Stewardship Practices</w:t>
      </w:r>
      <w:bookmarkEnd w:id="43"/>
    </w:p>
    <w:p w14:paraId="6C2F8345" w14:textId="77777777" w:rsidR="00AA301D" w:rsidRPr="006E255B" w:rsidRDefault="00ED5ECA" w:rsidP="00AA301D">
      <w:pPr>
        <w:spacing w:after="120" w:line="240" w:lineRule="auto"/>
      </w:pPr>
      <w:r w:rsidRPr="006E255B">
        <w:rPr>
          <w:noProof/>
          <w:lang w:eastAsia="en-AU"/>
        </w:rPr>
        <mc:AlternateContent>
          <mc:Choice Requires="wps">
            <w:drawing>
              <wp:inline distT="0" distB="0" distL="0" distR="0" wp14:anchorId="69285C3D" wp14:editId="4C6782E0">
                <wp:extent cx="5731510" cy="2298059"/>
                <wp:effectExtent l="0" t="0" r="15240" b="23495"/>
                <wp:docPr id="5" name="Text Box 5"/>
                <wp:cNvGraphicFramePr/>
                <a:graphic xmlns:a="http://schemas.openxmlformats.org/drawingml/2006/main">
                  <a:graphicData uri="http://schemas.microsoft.com/office/word/2010/wordprocessingShape">
                    <wps:wsp>
                      <wps:cNvSpPr txBox="1"/>
                      <wps:spPr>
                        <a:xfrm>
                          <a:off x="0" y="0"/>
                          <a:ext cx="5731510" cy="2298059"/>
                        </a:xfrm>
                        <a:prstGeom prst="rect">
                          <a:avLst/>
                        </a:prstGeom>
                        <a:noFill/>
                        <a:ln w="6350">
                          <a:solidFill>
                            <a:prstClr val="black"/>
                          </a:solidFill>
                        </a:ln>
                      </wps:spPr>
                      <wps:txbx>
                        <w:txbxContent>
                          <w:p w14:paraId="40F37AA6" w14:textId="77777777" w:rsidR="00F96E29" w:rsidRPr="00AA301D" w:rsidRDefault="00F96E29" w:rsidP="00ED5ECA">
                            <w:pPr>
                              <w:rPr>
                                <w:b/>
                              </w:rPr>
                            </w:pPr>
                            <w:r w:rsidRPr="00AA301D">
                              <w:rPr>
                                <w:b/>
                              </w:rPr>
                              <w:t xml:space="preserve">Priority Areas for Action </w:t>
                            </w:r>
                          </w:p>
                          <w:p w14:paraId="57B501A7" w14:textId="77777777" w:rsidR="00F96E29" w:rsidRPr="00AA301D" w:rsidRDefault="00F96E29" w:rsidP="00ED5ECA">
                            <w:pPr>
                              <w:rPr>
                                <w:rFonts w:eastAsia="Times New Roman" w:cs="Times New Roman"/>
                                <w:color w:val="1F4D78"/>
                              </w:rPr>
                            </w:pPr>
                            <w:r>
                              <w:rPr>
                                <w:rFonts w:eastAsia="Times New Roman" w:cs="Palatino Linotype"/>
                                <w:b/>
                                <w:bCs/>
                                <w:color w:val="939597"/>
                              </w:rPr>
                              <w:t>4</w:t>
                            </w:r>
                            <w:r w:rsidRPr="00AA301D">
                              <w:rPr>
                                <w:rFonts w:eastAsia="Times New Roman" w:cs="Palatino Linotype"/>
                                <w:b/>
                                <w:bCs/>
                                <w:color w:val="939597"/>
                              </w:rPr>
                              <w:t>.1</w:t>
                            </w:r>
                            <w:r>
                              <w:rPr>
                                <w:rFonts w:eastAsia="Times New Roman" w:cs="Palatino Linotype"/>
                                <w:b/>
                                <w:bCs/>
                                <w:color w:val="939597"/>
                              </w:rPr>
                              <w:t xml:space="preserve"> </w:t>
                            </w:r>
                            <w:r w:rsidRPr="0074275B">
                              <w:rPr>
                                <w:rFonts w:eastAsia="Times New Roman" w:cs="Times New Roman"/>
                              </w:rPr>
                              <w:t xml:space="preserve">Ensure that </w:t>
                            </w:r>
                            <w:r>
                              <w:rPr>
                                <w:rFonts w:eastAsia="Times New Roman" w:cs="Times New Roman"/>
                              </w:rPr>
                              <w:t>coordinated</w:t>
                            </w:r>
                            <w:r w:rsidRPr="0074275B">
                              <w:rPr>
                                <w:rFonts w:eastAsia="Times New Roman" w:cs="Times New Roman"/>
                              </w:rPr>
                              <w:t xml:space="preserve">, evidence-based antimicrobial prescribing guidelines and best-practice supports are developed </w:t>
                            </w:r>
                            <w:r w:rsidRPr="005D56E3">
                              <w:rPr>
                                <w:rFonts w:eastAsia="Times New Roman" w:cs="Times New Roman"/>
                              </w:rPr>
                              <w:t xml:space="preserve">and </w:t>
                            </w:r>
                            <w:r w:rsidRPr="00924A2A">
                              <w:rPr>
                                <w:rFonts w:eastAsia="Times New Roman" w:cs="Times New Roman"/>
                              </w:rPr>
                              <w:t xml:space="preserve">made </w:t>
                            </w:r>
                            <w:r>
                              <w:rPr>
                                <w:rFonts w:eastAsia="Times New Roman" w:cs="Times New Roman"/>
                              </w:rPr>
                              <w:t xml:space="preserve">easily </w:t>
                            </w:r>
                            <w:r w:rsidRPr="0074275B">
                              <w:rPr>
                                <w:rFonts w:eastAsia="Times New Roman" w:cs="Times New Roman"/>
                              </w:rPr>
                              <w:t>available, and encourage their use</w:t>
                            </w:r>
                            <w:r>
                              <w:rPr>
                                <w:rFonts w:eastAsia="Times New Roman" w:cs="Times New Roman"/>
                              </w:rPr>
                              <w:t xml:space="preserve"> by prescribers</w:t>
                            </w:r>
                          </w:p>
                          <w:p w14:paraId="560D4B38" w14:textId="77777777" w:rsidR="00F96E29" w:rsidRPr="00AA301D" w:rsidRDefault="00F96E29" w:rsidP="00ED5ECA">
                            <w:pPr>
                              <w:rPr>
                                <w:rFonts w:eastAsia="Times New Roman" w:cs="Times New Roman"/>
                                <w:color w:val="1F4D78"/>
                              </w:rPr>
                            </w:pPr>
                            <w:r>
                              <w:rPr>
                                <w:rFonts w:eastAsia="Times New Roman" w:cs="Palatino Linotype"/>
                                <w:b/>
                                <w:bCs/>
                                <w:color w:val="939597"/>
                              </w:rPr>
                              <w:t>4</w:t>
                            </w:r>
                            <w:r w:rsidRPr="00AA301D">
                              <w:rPr>
                                <w:rFonts w:eastAsia="Times New Roman" w:cs="Palatino Linotype"/>
                                <w:b/>
                                <w:bCs/>
                                <w:color w:val="939597"/>
                              </w:rPr>
                              <w:t>.2</w:t>
                            </w:r>
                            <w:r>
                              <w:rPr>
                                <w:rFonts w:eastAsia="Times New Roman" w:cs="Palatino Linotype"/>
                                <w:b/>
                                <w:bCs/>
                                <w:color w:val="939597"/>
                              </w:rPr>
                              <w:t xml:space="preserve"> </w:t>
                            </w:r>
                            <w:r>
                              <w:rPr>
                                <w:rFonts w:eastAsia="Times New Roman" w:cs="Times New Roman"/>
                              </w:rPr>
                              <w:t>D</w:t>
                            </w:r>
                            <w:r w:rsidRPr="0074275B">
                              <w:rPr>
                                <w:rFonts w:eastAsia="Times New Roman" w:cs="Times New Roman"/>
                              </w:rPr>
                              <w:t>evelop and implement effective mechanisms to monitor, reward and enforce compliance with standards and best-practice approaches for appropriate and judicious antimicrobial use</w:t>
                            </w:r>
                          </w:p>
                          <w:p w14:paraId="570B7E3B" w14:textId="77777777" w:rsidR="00F96E29" w:rsidRPr="00DF3BE0" w:rsidRDefault="00F96E29" w:rsidP="00ED5ECA">
                            <w:pPr>
                              <w:rPr>
                                <w:rFonts w:eastAsia="Times New Roman" w:cs="Palatino Linotype"/>
                                <w:b/>
                                <w:bCs/>
                                <w:color w:val="939597"/>
                              </w:rPr>
                            </w:pPr>
                            <w:r>
                              <w:rPr>
                                <w:rFonts w:eastAsia="Times New Roman" w:cs="Palatino Linotype"/>
                                <w:b/>
                                <w:bCs/>
                                <w:color w:val="939597"/>
                              </w:rPr>
                              <w:t>4</w:t>
                            </w:r>
                            <w:r w:rsidRPr="00AA301D">
                              <w:rPr>
                                <w:rFonts w:eastAsia="Times New Roman" w:cs="Palatino Linotype"/>
                                <w:b/>
                                <w:bCs/>
                                <w:color w:val="939597"/>
                              </w:rPr>
                              <w:t>.3</w:t>
                            </w:r>
                            <w:r>
                              <w:rPr>
                                <w:rFonts w:eastAsia="Times New Roman" w:cs="Palatino Linotype"/>
                                <w:b/>
                                <w:bCs/>
                                <w:color w:val="939597"/>
                              </w:rPr>
                              <w:t xml:space="preserve"> </w:t>
                            </w:r>
                            <w:r w:rsidRPr="00DC45B2">
                              <w:rPr>
                                <w:rFonts w:eastAsia="Times New Roman" w:cs="Times New Roman"/>
                              </w:rPr>
                              <w:t>Use</w:t>
                            </w:r>
                            <w:r w:rsidRPr="0074275B">
                              <w:rPr>
                                <w:rFonts w:eastAsia="Times New Roman" w:cs="Times New Roman"/>
                              </w:rPr>
                              <w:t xml:space="preserve"> data on antimicrobial usage to inform </w:t>
                            </w:r>
                            <w:r>
                              <w:rPr>
                                <w:rFonts w:eastAsia="Times New Roman" w:cs="Times New Roman"/>
                              </w:rPr>
                              <w:t>antimicrobial stewardship</w:t>
                            </w:r>
                            <w:r w:rsidRPr="0074275B">
                              <w:rPr>
                                <w:rFonts w:eastAsia="Times New Roman" w:cs="Times New Roman"/>
                              </w:rPr>
                              <w:t xml:space="preserve"> policy and support the development of targeted</w:t>
                            </w:r>
                            <w:r>
                              <w:rPr>
                                <w:rFonts w:eastAsia="Times New Roman" w:cs="Times New Roman"/>
                              </w:rPr>
                              <w:t>, timely</w:t>
                            </w:r>
                            <w:r w:rsidRPr="0074275B">
                              <w:rPr>
                                <w:rFonts w:eastAsia="Times New Roman" w:cs="Times New Roman"/>
                              </w:rPr>
                              <w:t xml:space="preserve"> and effective responses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9285C3D" id="Text Box 5" o:spid="_x0000_s1031" type="#_x0000_t202" style="width:451.3pt;height:180.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" filled="f" strokeweight=".5pt">
                <v:textbox style="mso-fit-shape-to-text:t">
                  <w:txbxContent>
                    <w:p w14:paraId="40F37AA6" w14:textId="77777777" w:rsidR="00F96E29" w:rsidRPr="00AA301D" w:rsidRDefault="00F96E29" w:rsidP="00ED5ECA">
                      <w:pPr>
                        <w:rPr>
                          <w:b/>
                        </w:rPr>
                      </w:pPr>
                      <w:r w:rsidRPr="00AA301D">
                        <w:rPr>
                          <w:b/>
                        </w:rPr>
                        <w:t xml:space="preserve">Priority Areas for Action </w:t>
                      </w:r>
                    </w:p>
                    <w:p w14:paraId="57B501A7" w14:textId="77777777" w:rsidR="00F96E29" w:rsidRPr="00AA301D" w:rsidRDefault="00F96E29" w:rsidP="00ED5ECA">
                      <w:pPr>
                        <w:rPr>
                          <w:rFonts w:eastAsia="Times New Roman" w:cs="Times New Roman"/>
                          <w:color w:val="1F4D78"/>
                        </w:rPr>
                      </w:pPr>
                      <w:r>
                        <w:rPr>
                          <w:rFonts w:eastAsia="Times New Roman" w:cs="Palatino Linotype"/>
                          <w:b/>
                          <w:bCs/>
                          <w:color w:val="939597"/>
                        </w:rPr>
                        <w:t>4</w:t>
                      </w:r>
                      <w:r w:rsidRPr="00AA301D">
                        <w:rPr>
                          <w:rFonts w:eastAsia="Times New Roman" w:cs="Palatino Linotype"/>
                          <w:b/>
                          <w:bCs/>
                          <w:color w:val="939597"/>
                        </w:rPr>
                        <w:t>.1</w:t>
                      </w:r>
                      <w:r>
                        <w:rPr>
                          <w:rFonts w:eastAsia="Times New Roman" w:cs="Palatino Linotype"/>
                          <w:b/>
                          <w:bCs/>
                          <w:color w:val="939597"/>
                        </w:rPr>
                        <w:t xml:space="preserve"> </w:t>
                      </w:r>
                      <w:r w:rsidRPr="0074275B">
                        <w:rPr>
                          <w:rFonts w:eastAsia="Times New Roman" w:cs="Times New Roman"/>
                        </w:rPr>
                        <w:t xml:space="preserve">Ensure that </w:t>
                      </w:r>
                      <w:r>
                        <w:rPr>
                          <w:rFonts w:eastAsia="Times New Roman" w:cs="Times New Roman"/>
                        </w:rPr>
                        <w:t>coordinated</w:t>
                      </w:r>
                      <w:r w:rsidRPr="0074275B">
                        <w:rPr>
                          <w:rFonts w:eastAsia="Times New Roman" w:cs="Times New Roman"/>
                        </w:rPr>
                        <w:t xml:space="preserve">, evidence-based antimicrobial prescribing guidelines and best-practice supports are developed </w:t>
                      </w:r>
                      <w:r w:rsidRPr="005D56E3">
                        <w:rPr>
                          <w:rFonts w:eastAsia="Times New Roman" w:cs="Times New Roman"/>
                        </w:rPr>
                        <w:t xml:space="preserve">and </w:t>
                      </w:r>
                      <w:r w:rsidRPr="00924A2A">
                        <w:rPr>
                          <w:rFonts w:eastAsia="Times New Roman" w:cs="Times New Roman"/>
                        </w:rPr>
                        <w:t xml:space="preserve">made </w:t>
                      </w:r>
                      <w:r>
                        <w:rPr>
                          <w:rFonts w:eastAsia="Times New Roman" w:cs="Times New Roman"/>
                        </w:rPr>
                        <w:t xml:space="preserve">easily </w:t>
                      </w:r>
                      <w:r w:rsidRPr="0074275B">
                        <w:rPr>
                          <w:rFonts w:eastAsia="Times New Roman" w:cs="Times New Roman"/>
                        </w:rPr>
                        <w:t>available, and encourage their use</w:t>
                      </w:r>
                      <w:r>
                        <w:rPr>
                          <w:rFonts w:eastAsia="Times New Roman" w:cs="Times New Roman"/>
                        </w:rPr>
                        <w:t xml:space="preserve"> by prescribers</w:t>
                      </w:r>
                    </w:p>
                    <w:p w14:paraId="560D4B38" w14:textId="77777777" w:rsidR="00F96E29" w:rsidRPr="00AA301D" w:rsidRDefault="00F96E29" w:rsidP="00ED5ECA">
                      <w:pPr>
                        <w:rPr>
                          <w:rFonts w:eastAsia="Times New Roman" w:cs="Times New Roman"/>
                          <w:color w:val="1F4D78"/>
                        </w:rPr>
                      </w:pPr>
                      <w:r>
                        <w:rPr>
                          <w:rFonts w:eastAsia="Times New Roman" w:cs="Palatino Linotype"/>
                          <w:b/>
                          <w:bCs/>
                          <w:color w:val="939597"/>
                        </w:rPr>
                        <w:t>4</w:t>
                      </w:r>
                      <w:r w:rsidRPr="00AA301D">
                        <w:rPr>
                          <w:rFonts w:eastAsia="Times New Roman" w:cs="Palatino Linotype"/>
                          <w:b/>
                          <w:bCs/>
                          <w:color w:val="939597"/>
                        </w:rPr>
                        <w:t>.2</w:t>
                      </w:r>
                      <w:r>
                        <w:rPr>
                          <w:rFonts w:eastAsia="Times New Roman" w:cs="Palatino Linotype"/>
                          <w:b/>
                          <w:bCs/>
                          <w:color w:val="939597"/>
                        </w:rPr>
                        <w:t xml:space="preserve"> </w:t>
                      </w:r>
                      <w:r>
                        <w:rPr>
                          <w:rFonts w:eastAsia="Times New Roman" w:cs="Times New Roman"/>
                        </w:rPr>
                        <w:t>D</w:t>
                      </w:r>
                      <w:r w:rsidRPr="0074275B">
                        <w:rPr>
                          <w:rFonts w:eastAsia="Times New Roman" w:cs="Times New Roman"/>
                        </w:rPr>
                        <w:t>evelop and implement effective mechanisms to monitor, reward and enforce compliance with standards and best-practice approaches for appropriate and judicious antimicrobial use</w:t>
                      </w:r>
                    </w:p>
                    <w:p w14:paraId="570B7E3B" w14:textId="77777777" w:rsidR="00F96E29" w:rsidRPr="00DF3BE0" w:rsidRDefault="00F96E29" w:rsidP="00ED5ECA">
                      <w:pPr>
                        <w:rPr>
                          <w:rFonts w:eastAsia="Times New Roman" w:cs="Palatino Linotype"/>
                          <w:b/>
                          <w:bCs/>
                          <w:color w:val="939597"/>
                        </w:rPr>
                      </w:pPr>
                      <w:r>
                        <w:rPr>
                          <w:rFonts w:eastAsia="Times New Roman" w:cs="Palatino Linotype"/>
                          <w:b/>
                          <w:bCs/>
                          <w:color w:val="939597"/>
                        </w:rPr>
                        <w:t>4</w:t>
                      </w:r>
                      <w:r w:rsidRPr="00AA301D">
                        <w:rPr>
                          <w:rFonts w:eastAsia="Times New Roman" w:cs="Palatino Linotype"/>
                          <w:b/>
                          <w:bCs/>
                          <w:color w:val="939597"/>
                        </w:rPr>
                        <w:t>.3</w:t>
                      </w:r>
                      <w:r>
                        <w:rPr>
                          <w:rFonts w:eastAsia="Times New Roman" w:cs="Palatino Linotype"/>
                          <w:b/>
                          <w:bCs/>
                          <w:color w:val="939597"/>
                        </w:rPr>
                        <w:t xml:space="preserve"> </w:t>
                      </w:r>
                      <w:r w:rsidRPr="00DC45B2">
                        <w:rPr>
                          <w:rFonts w:eastAsia="Times New Roman" w:cs="Times New Roman"/>
                        </w:rPr>
                        <w:t>Use</w:t>
                      </w:r>
                      <w:r w:rsidRPr="0074275B">
                        <w:rPr>
                          <w:rFonts w:eastAsia="Times New Roman" w:cs="Times New Roman"/>
                        </w:rPr>
                        <w:t xml:space="preserve"> data on antimicrobial usage to inform </w:t>
                      </w:r>
                      <w:r>
                        <w:rPr>
                          <w:rFonts w:eastAsia="Times New Roman" w:cs="Times New Roman"/>
                        </w:rPr>
                        <w:t>antimicrobial stewardship</w:t>
                      </w:r>
                      <w:r w:rsidRPr="0074275B">
                        <w:rPr>
                          <w:rFonts w:eastAsia="Times New Roman" w:cs="Times New Roman"/>
                        </w:rPr>
                        <w:t xml:space="preserve"> policy and support the development of targeted</w:t>
                      </w:r>
                      <w:r>
                        <w:rPr>
                          <w:rFonts w:eastAsia="Times New Roman" w:cs="Times New Roman"/>
                        </w:rPr>
                        <w:t>, timely</w:t>
                      </w:r>
                      <w:r w:rsidRPr="0074275B">
                        <w:rPr>
                          <w:rFonts w:eastAsia="Times New Roman" w:cs="Times New Roman"/>
                        </w:rPr>
                        <w:t xml:space="preserve"> and effective responses</w:t>
                      </w:r>
                    </w:p>
                  </w:txbxContent>
                </v:textbox>
                <w10:anchorlock/>
              </v:shape>
            </w:pict>
          </mc:Fallback>
        </mc:AlternateContent>
      </w:r>
    </w:p>
    <w:p w14:paraId="75CBE1E7" w14:textId="2F716DFC" w:rsidR="00C50317" w:rsidRPr="006E255B" w:rsidRDefault="00BB2DB5" w:rsidP="00AA301D">
      <w:pPr>
        <w:spacing w:after="120" w:line="240" w:lineRule="auto"/>
        <w:rPr>
          <w:rFonts w:ascii="Calibri Light" w:hAnsi="Calibri Light" w:cs="Calibri Light"/>
        </w:rPr>
      </w:pPr>
      <w:r w:rsidRPr="006E255B">
        <w:rPr>
          <w:rFonts w:ascii="Calibri Light" w:hAnsi="Calibri Light" w:cs="Calibri Light"/>
        </w:rPr>
        <w:t>R</w:t>
      </w:r>
      <w:r w:rsidR="00C31ADE" w:rsidRPr="006E255B">
        <w:rPr>
          <w:rFonts w:ascii="Calibri Light" w:hAnsi="Calibri Light" w:cs="Calibri Light"/>
        </w:rPr>
        <w:t xml:space="preserve">esistance </w:t>
      </w:r>
      <w:r w:rsidRPr="006E255B">
        <w:rPr>
          <w:rFonts w:ascii="Calibri Light" w:hAnsi="Calibri Light" w:cs="Calibri Light"/>
        </w:rPr>
        <w:t xml:space="preserve">to antimicrobials occurs </w:t>
      </w:r>
      <w:r w:rsidR="00C31ADE" w:rsidRPr="006E255B">
        <w:rPr>
          <w:rFonts w:ascii="Calibri Light" w:hAnsi="Calibri Light" w:cs="Calibri Light"/>
        </w:rPr>
        <w:t>naturally in microorganisms</w:t>
      </w:r>
      <w:r w:rsidR="00225110" w:rsidRPr="006E255B">
        <w:rPr>
          <w:rFonts w:ascii="Calibri Light" w:hAnsi="Calibri Light" w:cs="Calibri Light"/>
        </w:rPr>
        <w:t xml:space="preserve">. </w:t>
      </w:r>
      <w:r w:rsidRPr="006E255B">
        <w:rPr>
          <w:rFonts w:ascii="Calibri Light" w:hAnsi="Calibri Light" w:cs="Calibri Light"/>
        </w:rPr>
        <w:t xml:space="preserve">But it </w:t>
      </w:r>
      <w:r w:rsidR="00641B04">
        <w:rPr>
          <w:rFonts w:ascii="Calibri Light" w:hAnsi="Calibri Light" w:cs="Calibri Light"/>
        </w:rPr>
        <w:t>is</w:t>
      </w:r>
      <w:r w:rsidR="00CD19EF" w:rsidRPr="006E255B">
        <w:rPr>
          <w:rFonts w:ascii="Calibri Light" w:hAnsi="Calibri Light" w:cs="Calibri Light"/>
        </w:rPr>
        <w:t xml:space="preserve"> </w:t>
      </w:r>
      <w:r w:rsidR="0065574C">
        <w:rPr>
          <w:rFonts w:ascii="Calibri Light" w:hAnsi="Calibri Light" w:cs="Calibri Light"/>
        </w:rPr>
        <w:t xml:space="preserve">dramatically </w:t>
      </w:r>
      <w:r w:rsidR="00082FC3" w:rsidRPr="006E255B">
        <w:rPr>
          <w:rFonts w:ascii="Calibri Light" w:hAnsi="Calibri Light" w:cs="Calibri Light"/>
        </w:rPr>
        <w:t>amplified by</w:t>
      </w:r>
      <w:r w:rsidR="00363C10">
        <w:rPr>
          <w:rFonts w:ascii="Calibri Light" w:hAnsi="Calibri Light" w:cs="Calibri Light"/>
        </w:rPr>
        <w:t xml:space="preserve"> </w:t>
      </w:r>
      <w:r w:rsidR="00B20417">
        <w:rPr>
          <w:rFonts w:ascii="Calibri Light" w:hAnsi="Calibri Light" w:cs="Calibri Light"/>
        </w:rPr>
        <w:t>antimicrobial</w:t>
      </w:r>
      <w:r w:rsidR="00F96E29">
        <w:rPr>
          <w:rFonts w:ascii="Calibri Light" w:hAnsi="Calibri Light" w:cs="Calibri Light"/>
        </w:rPr>
        <w:t xml:space="preserve"> </w:t>
      </w:r>
      <w:r w:rsidR="004718D3">
        <w:rPr>
          <w:rFonts w:ascii="Calibri Light" w:hAnsi="Calibri Light" w:cs="Calibri Light"/>
        </w:rPr>
        <w:t>over</w:t>
      </w:r>
      <w:r w:rsidR="00363C10">
        <w:rPr>
          <w:rFonts w:ascii="Calibri Light" w:hAnsi="Calibri Light" w:cs="Calibri Light"/>
        </w:rPr>
        <w:t>use</w:t>
      </w:r>
      <w:r w:rsidR="004718D3">
        <w:rPr>
          <w:rFonts w:ascii="Calibri Light" w:hAnsi="Calibri Light" w:cs="Calibri Light"/>
        </w:rPr>
        <w:t xml:space="preserve">, underuse </w:t>
      </w:r>
      <w:r w:rsidR="00640D94">
        <w:rPr>
          <w:rFonts w:ascii="Calibri Light" w:hAnsi="Calibri Light" w:cs="Calibri Light"/>
        </w:rPr>
        <w:t xml:space="preserve">or poor </w:t>
      </w:r>
      <w:r w:rsidR="001D5F4C">
        <w:rPr>
          <w:rFonts w:ascii="Calibri Light" w:hAnsi="Calibri Light" w:cs="Calibri Light"/>
        </w:rPr>
        <w:t>management</w:t>
      </w:r>
      <w:r w:rsidR="00640D94">
        <w:rPr>
          <w:rFonts w:ascii="Calibri Light" w:hAnsi="Calibri Light" w:cs="Calibri Light"/>
        </w:rPr>
        <w:t>.</w:t>
      </w:r>
      <w:r w:rsidR="00082FC3" w:rsidRPr="006E255B">
        <w:rPr>
          <w:rFonts w:ascii="Calibri Light" w:hAnsi="Calibri Light" w:cs="Calibri Light"/>
        </w:rPr>
        <w:t xml:space="preserve"> </w:t>
      </w:r>
      <w:r w:rsidR="00CD19EF" w:rsidRPr="006E255B">
        <w:rPr>
          <w:rFonts w:ascii="Calibri Light" w:hAnsi="Calibri Light" w:cs="Calibri Light"/>
        </w:rPr>
        <w:t xml:space="preserve">Hence, </w:t>
      </w:r>
      <w:r w:rsidR="00721438" w:rsidRPr="006E255B">
        <w:rPr>
          <w:rFonts w:ascii="Calibri Light" w:hAnsi="Calibri Light" w:cs="Calibri Light"/>
        </w:rPr>
        <w:t>the</w:t>
      </w:r>
      <w:r w:rsidR="00CD19EF" w:rsidRPr="006E255B">
        <w:rPr>
          <w:rFonts w:ascii="Calibri Light" w:hAnsi="Calibri Light" w:cs="Calibri Light"/>
        </w:rPr>
        <w:t xml:space="preserve"> </w:t>
      </w:r>
      <w:r w:rsidR="00C31ADE" w:rsidRPr="006E255B">
        <w:rPr>
          <w:rFonts w:ascii="Calibri Light" w:hAnsi="Calibri Light" w:cs="Calibri Light"/>
        </w:rPr>
        <w:t xml:space="preserve">effective stewardship </w:t>
      </w:r>
      <w:r w:rsidR="00580023" w:rsidRPr="006E255B">
        <w:rPr>
          <w:rFonts w:ascii="Calibri Light" w:hAnsi="Calibri Light" w:cs="Calibri Light"/>
        </w:rPr>
        <w:t xml:space="preserve">of antimicrobials </w:t>
      </w:r>
      <w:r w:rsidR="00CD19EF" w:rsidRPr="006E255B">
        <w:rPr>
          <w:rFonts w:ascii="Calibri Light" w:hAnsi="Calibri Light" w:cs="Calibri Light"/>
        </w:rPr>
        <w:t xml:space="preserve">– </w:t>
      </w:r>
      <w:r w:rsidR="00C31ADE" w:rsidRPr="006E255B">
        <w:rPr>
          <w:rFonts w:ascii="Calibri Light" w:hAnsi="Calibri Light" w:cs="Calibri Light"/>
        </w:rPr>
        <w:t xml:space="preserve">through appropriate and judicious </w:t>
      </w:r>
      <w:r w:rsidR="00BB19AC">
        <w:rPr>
          <w:rFonts w:ascii="Calibri Light" w:hAnsi="Calibri Light" w:cs="Calibri Light"/>
        </w:rPr>
        <w:t xml:space="preserve">manufacture, </w:t>
      </w:r>
      <w:r w:rsidR="001850F6" w:rsidRPr="006E255B">
        <w:rPr>
          <w:rFonts w:ascii="Calibri Light" w:hAnsi="Calibri Light" w:cs="Calibri Light"/>
        </w:rPr>
        <w:t xml:space="preserve">administering, dispensing, </w:t>
      </w:r>
      <w:r w:rsidR="00C31ADE" w:rsidRPr="006E255B">
        <w:rPr>
          <w:rFonts w:ascii="Calibri Light" w:hAnsi="Calibri Light" w:cs="Calibri Light"/>
        </w:rPr>
        <w:t>prescribing</w:t>
      </w:r>
      <w:r w:rsidR="00D6075C" w:rsidRPr="006E255B">
        <w:rPr>
          <w:rFonts w:ascii="Calibri Light" w:hAnsi="Calibri Light" w:cs="Calibri Light"/>
        </w:rPr>
        <w:t xml:space="preserve"> and </w:t>
      </w:r>
      <w:r w:rsidR="001850F6" w:rsidRPr="006E255B">
        <w:rPr>
          <w:rFonts w:ascii="Calibri Light" w:hAnsi="Calibri Light" w:cs="Calibri Light"/>
        </w:rPr>
        <w:t>disposal</w:t>
      </w:r>
      <w:r w:rsidR="00580023" w:rsidRPr="006E255B">
        <w:rPr>
          <w:rFonts w:ascii="Calibri Light" w:hAnsi="Calibri Light" w:cs="Calibri Light"/>
        </w:rPr>
        <w:t xml:space="preserve"> </w:t>
      </w:r>
      <w:r w:rsidR="00CD19EF" w:rsidRPr="006E255B">
        <w:rPr>
          <w:rFonts w:ascii="Calibri Light" w:hAnsi="Calibri Light" w:cs="Calibri Light"/>
        </w:rPr>
        <w:t xml:space="preserve">– is </w:t>
      </w:r>
      <w:r w:rsidR="00055B71" w:rsidRPr="006E255B">
        <w:rPr>
          <w:rFonts w:ascii="Calibri Light" w:hAnsi="Calibri Light" w:cs="Calibri Light"/>
        </w:rPr>
        <w:t>critical</w:t>
      </w:r>
      <w:r w:rsidR="00C31ADE" w:rsidRPr="006E255B">
        <w:rPr>
          <w:rFonts w:ascii="Calibri Light" w:hAnsi="Calibri Light" w:cs="Calibri Light"/>
        </w:rPr>
        <w:t>.</w:t>
      </w:r>
      <w:r w:rsidR="001850F6" w:rsidRPr="006E255B">
        <w:rPr>
          <w:rFonts w:ascii="Calibri Light" w:hAnsi="Calibri Light" w:cs="Calibri Light"/>
        </w:rPr>
        <w:t xml:space="preserve"> </w:t>
      </w:r>
    </w:p>
    <w:p w14:paraId="29A6543B" w14:textId="61F759B3" w:rsidR="00721438" w:rsidRPr="006E255B" w:rsidRDefault="00721438" w:rsidP="00721438">
      <w:pPr>
        <w:spacing w:after="120" w:line="240" w:lineRule="auto"/>
        <w:rPr>
          <w:rFonts w:ascii="Calibri Light" w:hAnsi="Calibri Light" w:cs="Calibri Light"/>
        </w:rPr>
      </w:pPr>
      <w:r w:rsidRPr="006E255B">
        <w:rPr>
          <w:rFonts w:ascii="Calibri Light" w:hAnsi="Calibri Light" w:cs="Calibri Light"/>
        </w:rPr>
        <w:t xml:space="preserve">Where they already exist, compliance with best-practice antimicrobial prescribing guidelines must be </w:t>
      </w:r>
      <w:r w:rsidR="00773070">
        <w:rPr>
          <w:rFonts w:ascii="Calibri Light" w:hAnsi="Calibri Light" w:cs="Calibri Light"/>
        </w:rPr>
        <w:t xml:space="preserve">promoted and </w:t>
      </w:r>
      <w:r w:rsidRPr="006E255B">
        <w:rPr>
          <w:rFonts w:ascii="Calibri Light" w:hAnsi="Calibri Light" w:cs="Calibri Light"/>
        </w:rPr>
        <w:t xml:space="preserve">maintained. In support of this, all sectors </w:t>
      </w:r>
      <w:r w:rsidR="00EA66BE" w:rsidRPr="006E255B">
        <w:rPr>
          <w:rFonts w:ascii="Calibri Light" w:hAnsi="Calibri Light" w:cs="Calibri Light"/>
        </w:rPr>
        <w:t xml:space="preserve">must have </w:t>
      </w:r>
      <w:r w:rsidR="008A0E97">
        <w:rPr>
          <w:rFonts w:ascii="Calibri Light" w:hAnsi="Calibri Light" w:cs="Calibri Light"/>
        </w:rPr>
        <w:t>easy</w:t>
      </w:r>
      <w:r w:rsidR="00EA66BE" w:rsidRPr="006E255B">
        <w:rPr>
          <w:rFonts w:ascii="Calibri Light" w:hAnsi="Calibri Light" w:cs="Calibri Light"/>
        </w:rPr>
        <w:t xml:space="preserve"> access to </w:t>
      </w:r>
      <w:r w:rsidR="00160D19" w:rsidRPr="006E255B">
        <w:rPr>
          <w:rFonts w:ascii="Calibri Light" w:hAnsi="Calibri Light" w:cs="Calibri Light"/>
        </w:rPr>
        <w:t xml:space="preserve">existing </w:t>
      </w:r>
      <w:r w:rsidR="00EA66BE" w:rsidRPr="006E255B">
        <w:rPr>
          <w:rFonts w:ascii="Calibri Light" w:hAnsi="Calibri Light" w:cs="Calibri Light"/>
        </w:rPr>
        <w:t xml:space="preserve">guidelines, </w:t>
      </w:r>
      <w:r w:rsidRPr="006E255B">
        <w:rPr>
          <w:rFonts w:ascii="Calibri Light" w:hAnsi="Calibri Light" w:cs="Calibri Light"/>
        </w:rPr>
        <w:t xml:space="preserve">and </w:t>
      </w:r>
      <w:r w:rsidR="00160D19" w:rsidRPr="006E255B">
        <w:rPr>
          <w:rFonts w:ascii="Calibri Light" w:hAnsi="Calibri Light" w:cs="Calibri Light"/>
        </w:rPr>
        <w:t>these</w:t>
      </w:r>
      <w:r w:rsidR="00EA66BE" w:rsidRPr="006E255B">
        <w:rPr>
          <w:rFonts w:ascii="Calibri Light" w:hAnsi="Calibri Light" w:cs="Calibri Light"/>
        </w:rPr>
        <w:t xml:space="preserve"> need to be widely </w:t>
      </w:r>
      <w:r w:rsidRPr="006E255B">
        <w:rPr>
          <w:rFonts w:ascii="Calibri Light" w:hAnsi="Calibri Light" w:cs="Calibri Light"/>
        </w:rPr>
        <w:t xml:space="preserve">followed and </w:t>
      </w:r>
      <w:r w:rsidR="00EA66BE" w:rsidRPr="006E255B">
        <w:rPr>
          <w:rFonts w:ascii="Calibri Light" w:hAnsi="Calibri Light" w:cs="Calibri Light"/>
        </w:rPr>
        <w:t xml:space="preserve">regularly </w:t>
      </w:r>
      <w:r w:rsidRPr="006E255B">
        <w:rPr>
          <w:rFonts w:ascii="Calibri Light" w:hAnsi="Calibri Light" w:cs="Calibri Light"/>
        </w:rPr>
        <w:t xml:space="preserve">updated. </w:t>
      </w:r>
    </w:p>
    <w:p w14:paraId="6CFA11E7" w14:textId="37A6DAE6" w:rsidR="0006046C" w:rsidRPr="006E255B" w:rsidRDefault="00160D19" w:rsidP="00E10832">
      <w:pPr>
        <w:spacing w:after="120" w:line="240" w:lineRule="auto"/>
        <w:rPr>
          <w:rFonts w:ascii="Calibri Light" w:hAnsi="Calibri Light" w:cs="Calibri Light"/>
        </w:rPr>
      </w:pPr>
      <w:r w:rsidRPr="00EE54F4">
        <w:rPr>
          <w:rFonts w:ascii="Calibri Light" w:hAnsi="Calibri Light" w:cs="Calibri Light"/>
        </w:rPr>
        <w:t>In human health</w:t>
      </w:r>
      <w:r w:rsidR="000E6519" w:rsidRPr="00EE54F4">
        <w:rPr>
          <w:rFonts w:ascii="Calibri Light" w:hAnsi="Calibri Light" w:cs="Calibri Light"/>
        </w:rPr>
        <w:t>, strong antimicrobial stewardship standards have been developed</w:t>
      </w:r>
      <w:r w:rsidR="00E10832" w:rsidRPr="00EE54F4">
        <w:rPr>
          <w:rFonts w:ascii="Calibri Light" w:hAnsi="Calibri Light" w:cs="Calibri Light"/>
        </w:rPr>
        <w:t>, and the</w:t>
      </w:r>
      <w:r w:rsidR="000E6519" w:rsidRPr="00EE54F4">
        <w:rPr>
          <w:rFonts w:ascii="Calibri Light" w:hAnsi="Calibri Light" w:cs="Calibri Light"/>
        </w:rPr>
        <w:t xml:space="preserve"> National Safety and Quality Health Service Standards require every Australian hospital and day procedure centre to implement </w:t>
      </w:r>
      <w:r w:rsidR="00E10832" w:rsidRPr="00EE54F4">
        <w:rPr>
          <w:rFonts w:ascii="Calibri Light" w:hAnsi="Calibri Light" w:cs="Calibri Light"/>
        </w:rPr>
        <w:t>them</w:t>
      </w:r>
      <w:r w:rsidR="000E6519" w:rsidRPr="00EE54F4">
        <w:rPr>
          <w:rFonts w:ascii="Calibri Light" w:hAnsi="Calibri Light" w:cs="Calibri Light"/>
        </w:rPr>
        <w:t xml:space="preserve">. </w:t>
      </w:r>
      <w:r w:rsidR="00EE54F4">
        <w:rPr>
          <w:rFonts w:ascii="Calibri Light" w:hAnsi="Calibri Light" w:cs="Calibri Light"/>
        </w:rPr>
        <w:t>Health care</w:t>
      </w:r>
      <w:r w:rsidR="002B168B" w:rsidRPr="00EE54F4">
        <w:rPr>
          <w:rFonts w:ascii="Calibri Light" w:hAnsi="Calibri Light" w:cs="Calibri Light"/>
        </w:rPr>
        <w:t xml:space="preserve"> practi</w:t>
      </w:r>
      <w:r w:rsidR="00280881" w:rsidRPr="00EE54F4">
        <w:rPr>
          <w:rFonts w:ascii="Calibri Light" w:hAnsi="Calibri Light" w:cs="Calibri Light"/>
        </w:rPr>
        <w:t>ti</w:t>
      </w:r>
      <w:r w:rsidR="002B168B" w:rsidRPr="00EE54F4">
        <w:rPr>
          <w:rFonts w:ascii="Calibri Light" w:hAnsi="Calibri Light" w:cs="Calibri Light"/>
        </w:rPr>
        <w:t xml:space="preserve">oners and administrators need to ensure </w:t>
      </w:r>
      <w:r w:rsidR="00280881" w:rsidRPr="00EE54F4">
        <w:rPr>
          <w:rFonts w:ascii="Calibri Light" w:hAnsi="Calibri Light" w:cs="Calibri Light"/>
        </w:rPr>
        <w:t xml:space="preserve">there is a </w:t>
      </w:r>
      <w:r w:rsidR="00E10832" w:rsidRPr="00EE54F4">
        <w:rPr>
          <w:rFonts w:ascii="Calibri Light" w:hAnsi="Calibri Light" w:cs="Calibri Light"/>
        </w:rPr>
        <w:t xml:space="preserve">concerted effort to </w:t>
      </w:r>
      <w:r w:rsidR="00280881" w:rsidRPr="00EE54F4">
        <w:rPr>
          <w:rFonts w:ascii="Calibri Light" w:hAnsi="Calibri Light" w:cs="Calibri Light"/>
        </w:rPr>
        <w:t>adhere to these</w:t>
      </w:r>
      <w:r w:rsidR="00E10832" w:rsidRPr="00EE54F4">
        <w:rPr>
          <w:rFonts w:ascii="Calibri Light" w:hAnsi="Calibri Light" w:cs="Calibri Light"/>
        </w:rPr>
        <w:t xml:space="preserve"> standards</w:t>
      </w:r>
      <w:r w:rsidR="00280881" w:rsidRPr="00EE54F4">
        <w:rPr>
          <w:rFonts w:ascii="Calibri Light" w:hAnsi="Calibri Light" w:cs="Calibri Light"/>
        </w:rPr>
        <w:t>.</w:t>
      </w:r>
      <w:r w:rsidR="00280881" w:rsidRPr="006E255B">
        <w:rPr>
          <w:rFonts w:ascii="Calibri Light" w:hAnsi="Calibri Light" w:cs="Calibri Light"/>
        </w:rPr>
        <w:t xml:space="preserve"> </w:t>
      </w:r>
    </w:p>
    <w:p w14:paraId="508DCD25" w14:textId="1D45C3BE" w:rsidR="00E10832" w:rsidRPr="006E255B" w:rsidRDefault="00280881" w:rsidP="00E10832">
      <w:pPr>
        <w:spacing w:after="120" w:line="240" w:lineRule="auto"/>
        <w:rPr>
          <w:rFonts w:ascii="Calibri Light" w:hAnsi="Calibri Light" w:cs="Calibri Light"/>
        </w:rPr>
      </w:pPr>
      <w:r w:rsidRPr="006E255B">
        <w:rPr>
          <w:rFonts w:ascii="Calibri Light" w:hAnsi="Calibri Light" w:cs="Calibri Light"/>
        </w:rPr>
        <w:t xml:space="preserve">A need </w:t>
      </w:r>
      <w:r w:rsidR="0006046C" w:rsidRPr="006E255B">
        <w:rPr>
          <w:rFonts w:ascii="Calibri Light" w:hAnsi="Calibri Light" w:cs="Calibri Light"/>
        </w:rPr>
        <w:t xml:space="preserve">also </w:t>
      </w:r>
      <w:r w:rsidRPr="006E255B">
        <w:rPr>
          <w:rFonts w:ascii="Calibri Light" w:hAnsi="Calibri Light" w:cs="Calibri Light"/>
        </w:rPr>
        <w:t xml:space="preserve">exists to </w:t>
      </w:r>
      <w:r w:rsidR="00E10832" w:rsidRPr="006E255B">
        <w:rPr>
          <w:rFonts w:ascii="Calibri Light" w:hAnsi="Calibri Light" w:cs="Calibri Light"/>
        </w:rPr>
        <w:t xml:space="preserve">apply similar approaches in non-hospital human health settings, </w:t>
      </w:r>
      <w:r w:rsidR="0006046C" w:rsidRPr="006E255B">
        <w:rPr>
          <w:rFonts w:ascii="Calibri Light" w:hAnsi="Calibri Light" w:cs="Calibri Light"/>
        </w:rPr>
        <w:t>such as</w:t>
      </w:r>
      <w:r w:rsidR="00E10832" w:rsidRPr="006E255B">
        <w:rPr>
          <w:rFonts w:ascii="Calibri Light" w:hAnsi="Calibri Light" w:cs="Calibri Light"/>
        </w:rPr>
        <w:t xml:space="preserve"> primary care and </w:t>
      </w:r>
      <w:r w:rsidR="0006046C" w:rsidRPr="006E255B">
        <w:rPr>
          <w:rFonts w:ascii="Calibri Light" w:hAnsi="Calibri Light" w:cs="Calibri Light"/>
        </w:rPr>
        <w:t xml:space="preserve">the </w:t>
      </w:r>
      <w:r w:rsidR="00E10832" w:rsidRPr="006E255B">
        <w:rPr>
          <w:rFonts w:ascii="Calibri Light" w:hAnsi="Calibri Light" w:cs="Calibri Light"/>
        </w:rPr>
        <w:t xml:space="preserve">aged care </w:t>
      </w:r>
      <w:r w:rsidR="0006046C" w:rsidRPr="006E255B">
        <w:rPr>
          <w:rFonts w:ascii="Calibri Light" w:hAnsi="Calibri Light" w:cs="Calibri Light"/>
        </w:rPr>
        <w:t>sector</w:t>
      </w:r>
      <w:r w:rsidR="00E10832" w:rsidRPr="006E255B">
        <w:rPr>
          <w:rFonts w:ascii="Calibri Light" w:hAnsi="Calibri Light" w:cs="Calibri Light"/>
        </w:rPr>
        <w:t xml:space="preserve">. </w:t>
      </w:r>
      <w:r w:rsidR="003E6A0B" w:rsidRPr="006E255B">
        <w:rPr>
          <w:rFonts w:ascii="Calibri Light" w:hAnsi="Calibri Light" w:cs="Calibri Light"/>
        </w:rPr>
        <w:t>Where</w:t>
      </w:r>
      <w:r w:rsidR="00117611" w:rsidRPr="006E255B">
        <w:rPr>
          <w:rFonts w:ascii="Calibri Light" w:hAnsi="Calibri Light" w:cs="Calibri Light"/>
        </w:rPr>
        <w:t xml:space="preserve"> b</w:t>
      </w:r>
      <w:r w:rsidR="00E10832" w:rsidRPr="006E255B">
        <w:rPr>
          <w:rFonts w:ascii="Calibri Light" w:hAnsi="Calibri Light" w:cs="Calibri Light"/>
        </w:rPr>
        <w:t xml:space="preserve">arriers </w:t>
      </w:r>
      <w:r w:rsidR="00F96E29">
        <w:rPr>
          <w:rFonts w:ascii="Calibri Light" w:hAnsi="Calibri Light" w:cs="Calibri Light"/>
        </w:rPr>
        <w:t xml:space="preserve">exist </w:t>
      </w:r>
      <w:r w:rsidR="00E10832" w:rsidRPr="006E255B">
        <w:rPr>
          <w:rFonts w:ascii="Calibri Light" w:hAnsi="Calibri Light" w:cs="Calibri Light"/>
        </w:rPr>
        <w:t xml:space="preserve">to </w:t>
      </w:r>
      <w:r w:rsidR="000D7B93" w:rsidRPr="006E255B">
        <w:rPr>
          <w:rFonts w:ascii="Calibri Light" w:hAnsi="Calibri Light" w:cs="Calibri Light"/>
        </w:rPr>
        <w:t>the application of</w:t>
      </w:r>
      <w:r w:rsidR="00117611" w:rsidRPr="006E255B">
        <w:rPr>
          <w:rFonts w:ascii="Calibri Light" w:hAnsi="Calibri Light" w:cs="Calibri Light"/>
        </w:rPr>
        <w:t xml:space="preserve"> </w:t>
      </w:r>
      <w:r w:rsidR="00E10832" w:rsidRPr="006E255B">
        <w:rPr>
          <w:rFonts w:ascii="Calibri Light" w:hAnsi="Calibri Light" w:cs="Calibri Light"/>
        </w:rPr>
        <w:t xml:space="preserve">best-practice prescribing and stewardship </w:t>
      </w:r>
      <w:r w:rsidR="00117611" w:rsidRPr="006E255B">
        <w:rPr>
          <w:rFonts w:ascii="Calibri Light" w:hAnsi="Calibri Light" w:cs="Calibri Light"/>
        </w:rPr>
        <w:t>practices</w:t>
      </w:r>
      <w:r w:rsidR="003E6A0B" w:rsidRPr="006E255B">
        <w:rPr>
          <w:rFonts w:ascii="Calibri Light" w:hAnsi="Calibri Light" w:cs="Calibri Light"/>
        </w:rPr>
        <w:t xml:space="preserve">, they need </w:t>
      </w:r>
      <w:r w:rsidR="00137872" w:rsidRPr="006E255B">
        <w:rPr>
          <w:rFonts w:ascii="Calibri Light" w:hAnsi="Calibri Light" w:cs="Calibri Light"/>
        </w:rPr>
        <w:t xml:space="preserve">to be identified and </w:t>
      </w:r>
      <w:r w:rsidR="00DE6CEC" w:rsidRPr="006E255B">
        <w:rPr>
          <w:rFonts w:ascii="Calibri Light" w:hAnsi="Calibri Light" w:cs="Calibri Light"/>
        </w:rPr>
        <w:t>eliminated</w:t>
      </w:r>
      <w:r w:rsidR="007761E7" w:rsidRPr="006E255B">
        <w:rPr>
          <w:rFonts w:ascii="Calibri Light" w:hAnsi="Calibri Light" w:cs="Calibri Light"/>
        </w:rPr>
        <w:t xml:space="preserve">. </w:t>
      </w:r>
      <w:r w:rsidR="00137872" w:rsidRPr="006E255B">
        <w:rPr>
          <w:rFonts w:ascii="Calibri Light" w:hAnsi="Calibri Light" w:cs="Calibri Light"/>
        </w:rPr>
        <w:t>I</w:t>
      </w:r>
      <w:r w:rsidR="007761E7" w:rsidRPr="006E255B">
        <w:rPr>
          <w:rFonts w:ascii="Calibri Light" w:hAnsi="Calibri Light" w:cs="Calibri Light"/>
        </w:rPr>
        <w:t xml:space="preserve">nnovative </w:t>
      </w:r>
      <w:r w:rsidR="000D7B93" w:rsidRPr="006E255B">
        <w:rPr>
          <w:rFonts w:ascii="Calibri Light" w:hAnsi="Calibri Light" w:cs="Calibri Light"/>
        </w:rPr>
        <w:t>approaches</w:t>
      </w:r>
      <w:r w:rsidR="003E6A0B" w:rsidRPr="006E255B">
        <w:rPr>
          <w:rFonts w:ascii="Calibri Light" w:hAnsi="Calibri Light" w:cs="Calibri Light"/>
        </w:rPr>
        <w:t xml:space="preserve"> to </w:t>
      </w:r>
      <w:r w:rsidR="007761E7" w:rsidRPr="006E255B">
        <w:rPr>
          <w:rFonts w:ascii="Calibri Light" w:hAnsi="Calibri Light" w:cs="Calibri Light"/>
        </w:rPr>
        <w:t>engage and encourage compliance</w:t>
      </w:r>
      <w:r w:rsidR="00137872" w:rsidRPr="006E255B">
        <w:rPr>
          <w:rFonts w:ascii="Calibri Light" w:hAnsi="Calibri Light" w:cs="Calibri Light"/>
        </w:rPr>
        <w:t xml:space="preserve"> are required. W</w:t>
      </w:r>
      <w:r w:rsidR="00E10832" w:rsidRPr="006E255B">
        <w:rPr>
          <w:rFonts w:ascii="Calibri Light" w:hAnsi="Calibri Light" w:cs="Calibri Light"/>
        </w:rPr>
        <w:t xml:space="preserve">ork with </w:t>
      </w:r>
      <w:r w:rsidR="007761E7" w:rsidRPr="006E255B">
        <w:rPr>
          <w:rFonts w:ascii="Calibri Light" w:hAnsi="Calibri Light" w:cs="Calibri Light"/>
        </w:rPr>
        <w:t xml:space="preserve">key </w:t>
      </w:r>
      <w:r w:rsidR="00E10832" w:rsidRPr="006E255B">
        <w:rPr>
          <w:rFonts w:ascii="Calibri Light" w:hAnsi="Calibri Light" w:cs="Calibri Light"/>
        </w:rPr>
        <w:t xml:space="preserve">stakeholders, such as the </w:t>
      </w:r>
      <w:r w:rsidR="0006046C" w:rsidRPr="006E255B">
        <w:rPr>
          <w:rFonts w:ascii="Calibri Light" w:hAnsi="Calibri Light" w:cs="Calibri Light"/>
        </w:rPr>
        <w:t xml:space="preserve">General Practitioner Antimicrobial Resistance Expert Group </w:t>
      </w:r>
      <w:r w:rsidR="00620798" w:rsidRPr="006E255B">
        <w:rPr>
          <w:rFonts w:ascii="Calibri Light" w:hAnsi="Calibri Light" w:cs="Calibri Light"/>
        </w:rPr>
        <w:t xml:space="preserve">– </w:t>
      </w:r>
      <w:r w:rsidR="00DA6E2E" w:rsidRPr="006E255B">
        <w:rPr>
          <w:rFonts w:ascii="Calibri Light" w:hAnsi="Calibri Light" w:cs="Calibri Light"/>
        </w:rPr>
        <w:t>which</w:t>
      </w:r>
      <w:r w:rsidR="00620798" w:rsidRPr="006E255B">
        <w:rPr>
          <w:rFonts w:ascii="Calibri Light" w:hAnsi="Calibri Light" w:cs="Calibri Light"/>
        </w:rPr>
        <w:t xml:space="preserve"> develop</w:t>
      </w:r>
      <w:r w:rsidR="00DA6E2E" w:rsidRPr="006E255B">
        <w:rPr>
          <w:rFonts w:ascii="Calibri Light" w:hAnsi="Calibri Light" w:cs="Calibri Light"/>
        </w:rPr>
        <w:t>s</w:t>
      </w:r>
      <w:r w:rsidR="00620798" w:rsidRPr="006E255B">
        <w:rPr>
          <w:rFonts w:ascii="Calibri Light" w:hAnsi="Calibri Light" w:cs="Calibri Light"/>
        </w:rPr>
        <w:t xml:space="preserve"> initiatives </w:t>
      </w:r>
      <w:r w:rsidR="00DA6E2E" w:rsidRPr="006E255B">
        <w:rPr>
          <w:rFonts w:ascii="Calibri Light" w:hAnsi="Calibri Light" w:cs="Calibri Light"/>
        </w:rPr>
        <w:t>to</w:t>
      </w:r>
      <w:r w:rsidR="00620798" w:rsidRPr="006E255B">
        <w:rPr>
          <w:rFonts w:ascii="Calibri Light" w:hAnsi="Calibri Light" w:cs="Calibri Light"/>
        </w:rPr>
        <w:t xml:space="preserve"> enhance antimicrobial stewardship in community health settings – </w:t>
      </w:r>
      <w:r w:rsidR="00E10832" w:rsidRPr="006E255B">
        <w:rPr>
          <w:rFonts w:ascii="Calibri Light" w:hAnsi="Calibri Light" w:cs="Calibri Light"/>
        </w:rPr>
        <w:t xml:space="preserve">must continue. </w:t>
      </w:r>
    </w:p>
    <w:p w14:paraId="6B03D297" w14:textId="1B002E1E" w:rsidR="00C31ADE" w:rsidRPr="006E255B" w:rsidRDefault="00D47900" w:rsidP="00C31ADE">
      <w:pPr>
        <w:spacing w:after="120" w:line="240" w:lineRule="auto"/>
        <w:rPr>
          <w:rFonts w:ascii="Calibri Light" w:hAnsi="Calibri Light" w:cs="Calibri Light"/>
        </w:rPr>
      </w:pPr>
      <w:r w:rsidRPr="006E255B">
        <w:rPr>
          <w:rFonts w:ascii="Calibri Light" w:hAnsi="Calibri Light" w:cs="Calibri Light"/>
        </w:rPr>
        <w:t>I</w:t>
      </w:r>
      <w:r w:rsidR="00137872" w:rsidRPr="006E255B">
        <w:rPr>
          <w:rFonts w:ascii="Calibri Light" w:hAnsi="Calibri Light" w:cs="Calibri Light"/>
        </w:rPr>
        <w:t>t is encouraging that, in the U</w:t>
      </w:r>
      <w:r w:rsidR="009C7B8F">
        <w:rPr>
          <w:rFonts w:ascii="Calibri Light" w:hAnsi="Calibri Light" w:cs="Calibri Light"/>
        </w:rPr>
        <w:t xml:space="preserve">nited </w:t>
      </w:r>
      <w:r w:rsidR="00137872" w:rsidRPr="006E255B">
        <w:rPr>
          <w:rFonts w:ascii="Calibri Light" w:hAnsi="Calibri Light" w:cs="Calibri Light"/>
        </w:rPr>
        <w:t>K</w:t>
      </w:r>
      <w:r w:rsidR="009C7B8F">
        <w:rPr>
          <w:rFonts w:ascii="Calibri Light" w:hAnsi="Calibri Light" w:cs="Calibri Light"/>
        </w:rPr>
        <w:t>ingdom</w:t>
      </w:r>
      <w:r w:rsidR="000D6475">
        <w:rPr>
          <w:rFonts w:ascii="Calibri Light" w:hAnsi="Calibri Light" w:cs="Calibri Light"/>
        </w:rPr>
        <w:t>’</w:t>
      </w:r>
      <w:r w:rsidR="00137872" w:rsidRPr="006E255B">
        <w:rPr>
          <w:rFonts w:ascii="Calibri Light" w:hAnsi="Calibri Light" w:cs="Calibri Light"/>
        </w:rPr>
        <w:t xml:space="preserve">s </w:t>
      </w:r>
      <w:r w:rsidR="00155762" w:rsidRPr="003F2DCA">
        <w:rPr>
          <w:rFonts w:ascii="Calibri Light" w:hAnsi="Calibri Light" w:cs="Calibri Light"/>
        </w:rPr>
        <w:t xml:space="preserve">2015 </w:t>
      </w:r>
      <w:r w:rsidR="00137872" w:rsidRPr="003F2DCA">
        <w:rPr>
          <w:rFonts w:ascii="Calibri Light" w:hAnsi="Calibri Light" w:cs="Calibri Light"/>
        </w:rPr>
        <w:t>O</w:t>
      </w:r>
      <w:r w:rsidR="000D6475" w:rsidRPr="003F2DCA">
        <w:rPr>
          <w:rFonts w:ascii="Calibri Light" w:hAnsi="Calibri Light" w:cs="Calibri Light"/>
        </w:rPr>
        <w:t>’</w:t>
      </w:r>
      <w:r w:rsidR="00137872" w:rsidRPr="003F2DCA">
        <w:rPr>
          <w:rFonts w:ascii="Calibri Light" w:hAnsi="Calibri Light" w:cs="Calibri Light"/>
        </w:rPr>
        <w:t>Neill Review into Antibiotic Resistance</w:t>
      </w:r>
      <w:r w:rsidR="00155762" w:rsidRPr="006E255B">
        <w:rPr>
          <w:rFonts w:ascii="Calibri Light" w:hAnsi="Calibri Light" w:cs="Calibri Light"/>
        </w:rPr>
        <w:t xml:space="preserve">, </w:t>
      </w:r>
      <w:r w:rsidR="00C31ADE" w:rsidRPr="006E255B">
        <w:rPr>
          <w:rFonts w:ascii="Calibri Light" w:hAnsi="Calibri Light" w:cs="Calibri Light"/>
        </w:rPr>
        <w:t xml:space="preserve">Australia </w:t>
      </w:r>
      <w:r w:rsidR="00924A2A">
        <w:rPr>
          <w:rFonts w:ascii="Calibri Light" w:hAnsi="Calibri Light" w:cs="Calibri Light"/>
        </w:rPr>
        <w:t>wa</w:t>
      </w:r>
      <w:r w:rsidR="00155762" w:rsidRPr="006E255B">
        <w:rPr>
          <w:rFonts w:ascii="Calibri Light" w:hAnsi="Calibri Light" w:cs="Calibri Light"/>
        </w:rPr>
        <w:t xml:space="preserve">s ranked the </w:t>
      </w:r>
      <w:r w:rsidR="00C31ADE" w:rsidRPr="006E255B">
        <w:rPr>
          <w:rFonts w:ascii="Calibri Light" w:hAnsi="Calibri Light" w:cs="Calibri Light"/>
        </w:rPr>
        <w:t>fifth</w:t>
      </w:r>
      <w:r w:rsidR="00155762" w:rsidRPr="006E255B">
        <w:rPr>
          <w:rFonts w:ascii="Calibri Light" w:hAnsi="Calibri Light" w:cs="Calibri Light"/>
        </w:rPr>
        <w:t>-</w:t>
      </w:r>
      <w:r w:rsidR="00C31ADE" w:rsidRPr="006E255B">
        <w:rPr>
          <w:rFonts w:ascii="Calibri Light" w:hAnsi="Calibri Light" w:cs="Calibri Light"/>
        </w:rPr>
        <w:t>lowest for antibiotic use in agriculture among the 29 countries</w:t>
      </w:r>
      <w:r w:rsidR="00225110" w:rsidRPr="006E255B">
        <w:rPr>
          <w:rFonts w:ascii="Calibri Light" w:hAnsi="Calibri Light" w:cs="Calibri Light"/>
        </w:rPr>
        <w:t xml:space="preserve"> examined</w:t>
      </w:r>
      <w:r w:rsidR="00C31ADE" w:rsidRPr="006E255B">
        <w:rPr>
          <w:rFonts w:ascii="Calibri Light" w:hAnsi="Calibri Light" w:cs="Calibri Light"/>
        </w:rPr>
        <w:t>.</w:t>
      </w:r>
      <w:r w:rsidR="003F2DCA">
        <w:rPr>
          <w:rStyle w:val="FootnoteReference"/>
          <w:rFonts w:ascii="Calibri Light" w:hAnsi="Calibri Light" w:cs="Calibri Light"/>
        </w:rPr>
        <w:footnoteReference w:id="1"/>
      </w:r>
      <w:r w:rsidR="00C31ADE" w:rsidRPr="006E255B">
        <w:rPr>
          <w:rFonts w:ascii="Calibri Light" w:hAnsi="Calibri Light" w:cs="Calibri Light"/>
        </w:rPr>
        <w:t xml:space="preserve"> However, not all </w:t>
      </w:r>
      <w:r w:rsidR="007121A0" w:rsidRPr="006E255B">
        <w:rPr>
          <w:rFonts w:ascii="Calibri Light" w:hAnsi="Calibri Light" w:cs="Calibri Light"/>
        </w:rPr>
        <w:t xml:space="preserve">segments of the Australian </w:t>
      </w:r>
      <w:r w:rsidR="00C31ADE" w:rsidRPr="006E255B">
        <w:rPr>
          <w:rFonts w:ascii="Calibri Light" w:hAnsi="Calibri Light" w:cs="Calibri Light"/>
        </w:rPr>
        <w:t xml:space="preserve">animal health sector </w:t>
      </w:r>
      <w:r w:rsidR="00225110" w:rsidRPr="006E255B">
        <w:rPr>
          <w:rFonts w:ascii="Calibri Light" w:hAnsi="Calibri Light" w:cs="Calibri Light"/>
        </w:rPr>
        <w:t>have antimicrobial stewardship</w:t>
      </w:r>
      <w:r w:rsidR="00C31ADE" w:rsidRPr="006E255B">
        <w:rPr>
          <w:rFonts w:ascii="Calibri Light" w:hAnsi="Calibri Light" w:cs="Calibri Light"/>
        </w:rPr>
        <w:t xml:space="preserve"> programs or industry standards. It is </w:t>
      </w:r>
      <w:r w:rsidRPr="006E255B">
        <w:rPr>
          <w:rFonts w:ascii="Calibri Light" w:hAnsi="Calibri Light" w:cs="Calibri Light"/>
        </w:rPr>
        <w:t xml:space="preserve">therefore </w:t>
      </w:r>
      <w:r w:rsidR="005A5C7B" w:rsidRPr="006E255B">
        <w:rPr>
          <w:rFonts w:ascii="Calibri Light" w:hAnsi="Calibri Light" w:cs="Calibri Light"/>
        </w:rPr>
        <w:t>important</w:t>
      </w:r>
      <w:r w:rsidRPr="006E255B">
        <w:rPr>
          <w:rFonts w:ascii="Calibri Light" w:hAnsi="Calibri Light" w:cs="Calibri Light"/>
        </w:rPr>
        <w:t xml:space="preserve"> that </w:t>
      </w:r>
      <w:r w:rsidR="005A5C7B" w:rsidRPr="006E255B">
        <w:rPr>
          <w:rFonts w:ascii="Calibri Light" w:hAnsi="Calibri Light" w:cs="Calibri Light"/>
        </w:rPr>
        <w:t xml:space="preserve">stewardship standards be developed for the </w:t>
      </w:r>
      <w:r w:rsidR="00C31ADE" w:rsidRPr="006E255B">
        <w:rPr>
          <w:rFonts w:ascii="Calibri Light" w:hAnsi="Calibri Light" w:cs="Calibri Light"/>
        </w:rPr>
        <w:t xml:space="preserve">appropriate use of antimicrobials in </w:t>
      </w:r>
      <w:r w:rsidR="006C2D24" w:rsidRPr="006E255B">
        <w:rPr>
          <w:rFonts w:ascii="Calibri Light" w:hAnsi="Calibri Light" w:cs="Calibri Light"/>
        </w:rPr>
        <w:t>domestic animal species</w:t>
      </w:r>
      <w:r w:rsidR="006C2D24">
        <w:rPr>
          <w:rFonts w:ascii="Calibri Light" w:hAnsi="Calibri Light" w:cs="Calibri Light"/>
        </w:rPr>
        <w:t xml:space="preserve"> – </w:t>
      </w:r>
      <w:r w:rsidR="006C2D24" w:rsidRPr="006E255B">
        <w:rPr>
          <w:rFonts w:ascii="Calibri Light" w:hAnsi="Calibri Light" w:cs="Calibri Light"/>
        </w:rPr>
        <w:t>terrestrial and aquatic</w:t>
      </w:r>
      <w:r w:rsidRPr="006E255B">
        <w:rPr>
          <w:rFonts w:ascii="Calibri Light" w:hAnsi="Calibri Light" w:cs="Calibri Light"/>
        </w:rPr>
        <w:t xml:space="preserve">. </w:t>
      </w:r>
      <w:r w:rsidR="00C31ADE" w:rsidRPr="006E255B">
        <w:rPr>
          <w:rFonts w:ascii="Calibri Light" w:hAnsi="Calibri Light" w:cs="Calibri Light"/>
        </w:rPr>
        <w:t xml:space="preserve"> </w:t>
      </w:r>
    </w:p>
    <w:p w14:paraId="0CB2D602" w14:textId="3DDFA9F6" w:rsidR="00C31ADE" w:rsidRPr="006E255B" w:rsidRDefault="00AB24D7" w:rsidP="00C31ADE">
      <w:pPr>
        <w:spacing w:after="120" w:line="240" w:lineRule="auto"/>
        <w:rPr>
          <w:rFonts w:ascii="Calibri Light" w:hAnsi="Calibri Light" w:cs="Calibri Light"/>
        </w:rPr>
      </w:pPr>
      <w:r w:rsidRPr="006E255B">
        <w:rPr>
          <w:rFonts w:ascii="Calibri Light" w:hAnsi="Calibri Light" w:cs="Calibri Light"/>
        </w:rPr>
        <w:t>Standards for, and accreditation of, veterinary practices and hospitals should</w:t>
      </w:r>
      <w:r w:rsidR="00773070">
        <w:rPr>
          <w:rFonts w:ascii="Calibri Light" w:hAnsi="Calibri Light" w:cs="Calibri Light"/>
        </w:rPr>
        <w:t xml:space="preserve"> also</w:t>
      </w:r>
      <w:r w:rsidRPr="006E255B">
        <w:rPr>
          <w:rFonts w:ascii="Calibri Light" w:hAnsi="Calibri Light" w:cs="Calibri Light"/>
        </w:rPr>
        <w:t xml:space="preserve"> be developed to</w:t>
      </w:r>
      <w:r w:rsidR="00C31ADE" w:rsidRPr="006E255B">
        <w:rPr>
          <w:rFonts w:ascii="Calibri Light" w:hAnsi="Calibri Light" w:cs="Calibri Light"/>
        </w:rPr>
        <w:t xml:space="preserve"> support the implementation, ma</w:t>
      </w:r>
      <w:r w:rsidR="00225110" w:rsidRPr="006E255B">
        <w:rPr>
          <w:rFonts w:ascii="Calibri Light" w:hAnsi="Calibri Light" w:cs="Calibri Light"/>
        </w:rPr>
        <w:t>intenance and improvement of antimicrobial stewardship</w:t>
      </w:r>
      <w:r w:rsidR="00C31ADE" w:rsidRPr="006E255B">
        <w:rPr>
          <w:rFonts w:ascii="Calibri Light" w:hAnsi="Calibri Light" w:cs="Calibri Light"/>
        </w:rPr>
        <w:t xml:space="preserve"> programs and best</w:t>
      </w:r>
      <w:r w:rsidR="00F96E29">
        <w:rPr>
          <w:rFonts w:ascii="Calibri Light" w:hAnsi="Calibri Light" w:cs="Calibri Light"/>
        </w:rPr>
        <w:t>-</w:t>
      </w:r>
      <w:r w:rsidR="00C31ADE" w:rsidRPr="006E255B">
        <w:rPr>
          <w:rFonts w:ascii="Calibri Light" w:hAnsi="Calibri Light" w:cs="Calibri Light"/>
        </w:rPr>
        <w:t>practi</w:t>
      </w:r>
      <w:r w:rsidR="00225110" w:rsidRPr="006E255B">
        <w:rPr>
          <w:rFonts w:ascii="Calibri Light" w:hAnsi="Calibri Light" w:cs="Calibri Light"/>
        </w:rPr>
        <w:t>ce antimicrobial use</w:t>
      </w:r>
      <w:r w:rsidR="00C31ADE" w:rsidRPr="006E255B">
        <w:rPr>
          <w:rFonts w:ascii="Calibri Light" w:hAnsi="Calibri Light" w:cs="Calibri Light"/>
        </w:rPr>
        <w:t xml:space="preserve">. </w:t>
      </w:r>
      <w:r w:rsidR="00225110" w:rsidRPr="006E255B">
        <w:rPr>
          <w:rFonts w:ascii="Calibri Light" w:hAnsi="Calibri Light" w:cs="Calibri Light"/>
        </w:rPr>
        <w:t xml:space="preserve"> </w:t>
      </w:r>
    </w:p>
    <w:p w14:paraId="43C8B49D" w14:textId="77777777" w:rsidR="008E780F" w:rsidRPr="006E255B" w:rsidRDefault="008A6B92" w:rsidP="00263EBC">
      <w:pPr>
        <w:spacing w:after="120" w:line="240" w:lineRule="auto"/>
      </w:pPr>
      <w:r w:rsidRPr="006E255B">
        <w:rPr>
          <w:rFonts w:ascii="Calibri Light" w:hAnsi="Calibri Light" w:cs="Calibri Light"/>
        </w:rPr>
        <w:t>A</w:t>
      </w:r>
      <w:r w:rsidR="00E11DB3" w:rsidRPr="006E255B">
        <w:rPr>
          <w:rFonts w:ascii="Calibri Light" w:hAnsi="Calibri Light" w:cs="Calibri Light"/>
        </w:rPr>
        <w:t>ntimicrobial stewardship</w:t>
      </w:r>
      <w:r w:rsidR="00C50317" w:rsidRPr="006E255B">
        <w:rPr>
          <w:rFonts w:ascii="Calibri Light" w:hAnsi="Calibri Light" w:cs="Calibri Light"/>
        </w:rPr>
        <w:t xml:space="preserve"> </w:t>
      </w:r>
      <w:r w:rsidRPr="006E255B">
        <w:rPr>
          <w:rFonts w:ascii="Calibri Light" w:hAnsi="Calibri Light" w:cs="Calibri Light"/>
        </w:rPr>
        <w:t xml:space="preserve">cannot be a </w:t>
      </w:r>
      <w:r w:rsidR="000D6475">
        <w:rPr>
          <w:rFonts w:ascii="Calibri Light" w:hAnsi="Calibri Light" w:cs="Calibri Light"/>
        </w:rPr>
        <w:t>“</w:t>
      </w:r>
      <w:r w:rsidRPr="006E255B">
        <w:rPr>
          <w:rFonts w:ascii="Calibri Light" w:hAnsi="Calibri Light" w:cs="Calibri Light"/>
        </w:rPr>
        <w:t>one size fits all</w:t>
      </w:r>
      <w:r w:rsidR="000D6475">
        <w:rPr>
          <w:rFonts w:ascii="Calibri Light" w:hAnsi="Calibri Light" w:cs="Calibri Light"/>
        </w:rPr>
        <w:t>”</w:t>
      </w:r>
      <w:r w:rsidRPr="006E255B">
        <w:rPr>
          <w:rFonts w:ascii="Calibri Light" w:hAnsi="Calibri Light" w:cs="Calibri Light"/>
        </w:rPr>
        <w:t xml:space="preserve"> solution. R</w:t>
      </w:r>
      <w:r w:rsidR="00C50317" w:rsidRPr="006E255B">
        <w:rPr>
          <w:rFonts w:ascii="Calibri Light" w:hAnsi="Calibri Light" w:cs="Calibri Light"/>
        </w:rPr>
        <w:t>esponses need to reflect the specific needs and challenges of each sector, the regulatory environment in which it operates, and the actions already taken to ad</w:t>
      </w:r>
      <w:r w:rsidR="00897FFE" w:rsidRPr="006E255B">
        <w:rPr>
          <w:rFonts w:ascii="Calibri Light" w:hAnsi="Calibri Light" w:cs="Calibri Light"/>
        </w:rPr>
        <w:t xml:space="preserve">dress antimicrobial resistance. </w:t>
      </w:r>
    </w:p>
    <w:p w14:paraId="05C5B31F" w14:textId="77777777" w:rsidR="008E780F" w:rsidRPr="006E255B" w:rsidRDefault="008E780F" w:rsidP="008E780F">
      <w:pPr>
        <w:rPr>
          <w:b/>
          <w:smallCaps/>
          <w:sz w:val="28"/>
          <w:szCs w:val="28"/>
        </w:rPr>
      </w:pPr>
      <w:bookmarkStart w:id="44" w:name="_Toc8939439"/>
      <w:r w:rsidRPr="006E255B">
        <w:rPr>
          <w:b/>
        </w:rPr>
        <w:br w:type="page"/>
      </w:r>
    </w:p>
    <w:p w14:paraId="0C7555B3" w14:textId="77777777" w:rsidR="008E780F" w:rsidRPr="00C341FE" w:rsidRDefault="00C341FE" w:rsidP="00C341FE">
      <w:pPr>
        <w:pStyle w:val="Heading2"/>
        <w:numPr>
          <w:ilvl w:val="0"/>
          <w:numId w:val="14"/>
        </w:numPr>
        <w:spacing w:before="0" w:after="120" w:line="240" w:lineRule="auto"/>
        <w:rPr>
          <w:b/>
          <w:bCs/>
        </w:rPr>
      </w:pPr>
      <w:bookmarkStart w:id="45" w:name="_Toc18311691"/>
      <w:bookmarkEnd w:id="44"/>
      <w:r w:rsidRPr="00C341FE">
        <w:rPr>
          <w:b/>
          <w:bCs/>
        </w:rPr>
        <w:lastRenderedPageBreak/>
        <w:t xml:space="preserve">Integrated Surveillance </w:t>
      </w:r>
      <w:r w:rsidR="00924A2A">
        <w:rPr>
          <w:b/>
          <w:bCs/>
        </w:rPr>
        <w:t>and Response to</w:t>
      </w:r>
      <w:r w:rsidRPr="00C341FE">
        <w:rPr>
          <w:b/>
          <w:bCs/>
        </w:rPr>
        <w:t xml:space="preserve"> Resistance and Usage</w:t>
      </w:r>
      <w:bookmarkEnd w:id="45"/>
    </w:p>
    <w:p w14:paraId="0C6578AA" w14:textId="77777777" w:rsidR="00C341FE" w:rsidRPr="000C51C9" w:rsidRDefault="00ED5ECA" w:rsidP="000C4C2B">
      <w:pPr>
        <w:spacing w:after="120" w:line="240" w:lineRule="auto"/>
        <w:rPr>
          <w:rFonts w:ascii="Calibri Light" w:hAnsi="Calibri Light" w:cs="Calibri Light"/>
          <w:sz w:val="16"/>
          <w:szCs w:val="16"/>
        </w:rPr>
      </w:pPr>
      <w:r w:rsidRPr="00C341FE">
        <w:rPr>
          <w:b/>
          <w:bCs/>
          <w:noProof/>
          <w:lang w:eastAsia="en-AU"/>
        </w:rPr>
        <mc:AlternateContent>
          <mc:Choice Requires="wps">
            <w:drawing>
              <wp:inline distT="0" distB="0" distL="0" distR="0" wp14:anchorId="3A14A8BD" wp14:editId="459A1A93">
                <wp:extent cx="5731510" cy="1980824"/>
                <wp:effectExtent l="0" t="0" r="21590" b="27305"/>
                <wp:docPr id="6" name="Text Box 6"/>
                <wp:cNvGraphicFramePr/>
                <a:graphic xmlns:a="http://schemas.openxmlformats.org/drawingml/2006/main">
                  <a:graphicData uri="http://schemas.microsoft.com/office/word/2010/wordprocessingShape">
                    <wps:wsp>
                      <wps:cNvSpPr txBox="1"/>
                      <wps:spPr>
                        <a:xfrm>
                          <a:off x="0" y="0"/>
                          <a:ext cx="5731510" cy="1980824"/>
                        </a:xfrm>
                        <a:prstGeom prst="rect">
                          <a:avLst/>
                        </a:prstGeom>
                        <a:noFill/>
                        <a:ln w="6350">
                          <a:solidFill>
                            <a:prstClr val="black"/>
                          </a:solidFill>
                        </a:ln>
                      </wps:spPr>
                      <wps:txbx>
                        <w:txbxContent>
                          <w:p w14:paraId="02305440" w14:textId="77777777" w:rsidR="00F96E29" w:rsidRPr="00263EBC" w:rsidRDefault="00F96E29" w:rsidP="00ED5ECA">
                            <w:pPr>
                              <w:rPr>
                                <w:b/>
                              </w:rPr>
                            </w:pPr>
                            <w:r w:rsidRPr="00263EBC">
                              <w:rPr>
                                <w:b/>
                              </w:rPr>
                              <w:t xml:space="preserve">Priority Areas for Action </w:t>
                            </w:r>
                          </w:p>
                          <w:p w14:paraId="131CC86F" w14:textId="711AFAF0" w:rsidR="00F96E29" w:rsidRPr="00263EBC" w:rsidRDefault="00F96E29" w:rsidP="00ED5ECA">
                            <w:pPr>
                              <w:rPr>
                                <w:rFonts w:eastAsia="Times New Roman" w:cs="Times New Roman"/>
                                <w:color w:val="1F4D78"/>
                              </w:rPr>
                            </w:pPr>
                            <w:r>
                              <w:rPr>
                                <w:rFonts w:eastAsia="Times New Roman" w:cs="Palatino Linotype"/>
                                <w:b/>
                                <w:bCs/>
                                <w:color w:val="939597"/>
                              </w:rPr>
                              <w:t>5</w:t>
                            </w:r>
                            <w:r w:rsidRPr="00263EBC">
                              <w:rPr>
                                <w:rFonts w:eastAsia="Times New Roman" w:cs="Palatino Linotype"/>
                                <w:b/>
                                <w:bCs/>
                                <w:color w:val="939597"/>
                              </w:rPr>
                              <w:t>.1</w:t>
                            </w:r>
                            <w:r>
                              <w:rPr>
                                <w:rFonts w:eastAsia="Times New Roman" w:cs="Palatino Linotype"/>
                                <w:b/>
                                <w:bCs/>
                                <w:color w:val="939597"/>
                              </w:rPr>
                              <w:t xml:space="preserve"> </w:t>
                            </w:r>
                            <w:r w:rsidRPr="0074275B">
                              <w:rPr>
                                <w:rFonts w:eastAsia="Times New Roman" w:cs="Times New Roman"/>
                              </w:rPr>
                              <w:t xml:space="preserve">Create a sustainably funded national One Health surveillance system that integrates human, animal, food and environmental usage and resistance data </w:t>
                            </w:r>
                          </w:p>
                          <w:p w14:paraId="5242121B" w14:textId="77777777" w:rsidR="00F96E29" w:rsidRDefault="00F96E29" w:rsidP="00ED5ECA">
                            <w:pPr>
                              <w:rPr>
                                <w:rFonts w:eastAsia="Times New Roman" w:cs="Times New Roman"/>
                              </w:rPr>
                            </w:pPr>
                            <w:r>
                              <w:rPr>
                                <w:rFonts w:eastAsia="Times New Roman" w:cs="Palatino Linotype"/>
                                <w:b/>
                                <w:bCs/>
                                <w:color w:val="939597"/>
                              </w:rPr>
                              <w:t>5</w:t>
                            </w:r>
                            <w:r w:rsidRPr="00263EBC">
                              <w:rPr>
                                <w:rFonts w:eastAsia="Times New Roman" w:cs="Palatino Linotype"/>
                                <w:b/>
                                <w:bCs/>
                                <w:color w:val="939597"/>
                              </w:rPr>
                              <w:t>.2</w:t>
                            </w:r>
                            <w:r>
                              <w:rPr>
                                <w:rFonts w:eastAsia="Times New Roman" w:cs="Palatino Linotype"/>
                                <w:b/>
                                <w:bCs/>
                                <w:color w:val="939597"/>
                              </w:rPr>
                              <w:t xml:space="preserve"> </w:t>
                            </w:r>
                            <w:r w:rsidRPr="0074275B">
                              <w:rPr>
                                <w:rFonts w:eastAsia="Times New Roman" w:cs="Times New Roman"/>
                              </w:rPr>
                              <w:t>Develop and regularly review lists of priority organisms and associated antimicrobials</w:t>
                            </w:r>
                          </w:p>
                          <w:p w14:paraId="4BBD871A" w14:textId="7A549B62" w:rsidR="00F96E29" w:rsidRPr="00263EBC" w:rsidRDefault="00F96E29" w:rsidP="00ED5ECA">
                            <w:pPr>
                              <w:rPr>
                                <w:rFonts w:eastAsia="Times New Roman" w:cs="Times New Roman"/>
                                <w:color w:val="1F4D78"/>
                              </w:rPr>
                            </w:pPr>
                            <w:r>
                              <w:rPr>
                                <w:rFonts w:eastAsia="Times New Roman" w:cs="Palatino Linotype"/>
                                <w:b/>
                                <w:bCs/>
                                <w:color w:val="939597"/>
                              </w:rPr>
                              <w:t>5</w:t>
                            </w:r>
                            <w:r w:rsidRPr="00263EBC">
                              <w:rPr>
                                <w:rFonts w:eastAsia="Times New Roman" w:cs="Palatino Linotype"/>
                                <w:b/>
                                <w:bCs/>
                                <w:color w:val="939597"/>
                              </w:rPr>
                              <w:t>.3</w:t>
                            </w:r>
                            <w:r>
                              <w:rPr>
                                <w:rFonts w:eastAsia="Times New Roman" w:cs="Palatino Linotype"/>
                                <w:b/>
                                <w:bCs/>
                                <w:color w:val="939597"/>
                              </w:rPr>
                              <w:t xml:space="preserve"> </w:t>
                            </w:r>
                            <w:r w:rsidR="00DD777D" w:rsidRPr="00AA1C4F">
                              <w:rPr>
                                <w:rFonts w:eastAsia="Times New Roman" w:cs="Times New Roman"/>
                              </w:rPr>
                              <w:t xml:space="preserve">Implement </w:t>
                            </w:r>
                            <w:r w:rsidR="00DD777D" w:rsidRPr="00DD777D">
                              <w:rPr>
                                <w:rFonts w:eastAsia="Times New Roman" w:cs="Times New Roman"/>
                              </w:rPr>
                              <w:t>n</w:t>
                            </w:r>
                            <w:r w:rsidRPr="00DD777D">
                              <w:rPr>
                                <w:rFonts w:eastAsia="Times New Roman" w:cs="Times New Roman"/>
                              </w:rPr>
                              <w:t>ational</w:t>
                            </w:r>
                            <w:r>
                              <w:rPr>
                                <w:rFonts w:eastAsia="Times New Roman" w:cs="Times New Roman"/>
                              </w:rPr>
                              <w:t xml:space="preserve"> alignment of</w:t>
                            </w:r>
                            <w:r w:rsidRPr="0074275B">
                              <w:rPr>
                                <w:rFonts w:eastAsia="Times New Roman" w:cs="Times New Roman"/>
                              </w:rPr>
                              <w:t xml:space="preserve"> laboratory testing practices</w:t>
                            </w:r>
                            <w:r>
                              <w:rPr>
                                <w:rFonts w:eastAsia="Times New Roman" w:cs="Times New Roman"/>
                              </w:rPr>
                              <w:t xml:space="preserve"> and reporting</w:t>
                            </w:r>
                            <w:r w:rsidRPr="0074275B">
                              <w:rPr>
                                <w:rFonts w:eastAsia="Times New Roman" w:cs="Times New Roman"/>
                              </w:rPr>
                              <w:t xml:space="preserve"> for antimicrobial resistance </w:t>
                            </w:r>
                          </w:p>
                          <w:p w14:paraId="40F4BC7F" w14:textId="77777777" w:rsidR="00F96E29" w:rsidRPr="00CE0900" w:rsidRDefault="00F96E29" w:rsidP="00ED5ECA">
                            <w:pPr>
                              <w:rPr>
                                <w:rFonts w:eastAsia="Times New Roman" w:cs="Palatino Linotype"/>
                                <w:b/>
                                <w:bCs/>
                                <w:color w:val="939597"/>
                              </w:rPr>
                            </w:pPr>
                            <w:r>
                              <w:rPr>
                                <w:rFonts w:eastAsia="Times New Roman" w:cs="Palatino Linotype"/>
                                <w:b/>
                                <w:bCs/>
                                <w:color w:val="939597"/>
                              </w:rPr>
                              <w:t>5</w:t>
                            </w:r>
                            <w:r w:rsidRPr="00263EBC">
                              <w:rPr>
                                <w:rFonts w:eastAsia="Times New Roman" w:cs="Palatino Linotype"/>
                                <w:b/>
                                <w:bCs/>
                                <w:color w:val="939597"/>
                              </w:rPr>
                              <w:t>.4</w:t>
                            </w:r>
                            <w:r>
                              <w:rPr>
                                <w:rFonts w:eastAsia="Times New Roman" w:cs="Palatino Linotype"/>
                                <w:b/>
                                <w:bCs/>
                                <w:color w:val="939597"/>
                              </w:rPr>
                              <w:t xml:space="preserve"> </w:t>
                            </w:r>
                            <w:r>
                              <w:rPr>
                                <w:rFonts w:eastAsia="Times New Roman" w:cs="Times New Roman"/>
                              </w:rPr>
                              <w:t>Use</w:t>
                            </w:r>
                            <w:r w:rsidRPr="0074275B">
                              <w:rPr>
                                <w:rFonts w:eastAsia="Times New Roman" w:cs="Times New Roman"/>
                              </w:rPr>
                              <w:t xml:space="preserve"> evidence-based surveillance and monitoring data to inform actions and responses to </w:t>
                            </w:r>
                            <w:r>
                              <w:rPr>
                                <w:rFonts w:eastAsia="Times New Roman" w:cs="Times New Roman"/>
                              </w:rPr>
                              <w:t xml:space="preserve">contain </w:t>
                            </w:r>
                            <w:r w:rsidRPr="0074275B">
                              <w:rPr>
                                <w:rFonts w:eastAsia="Times New Roman" w:cs="Times New Roman"/>
                              </w:rPr>
                              <w:t>antimicrobial resistance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A14A8BD" id="Text Box 6" o:spid="_x0000_s1032" type="#_x0000_t202" style="width:451.3pt;height:15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" filled="f" strokeweight=".5pt">
                <v:textbox style="mso-fit-shape-to-text:t">
                  <w:txbxContent>
                    <w:p w14:paraId="02305440" w14:textId="77777777" w:rsidR="00F96E29" w:rsidRPr="00263EBC" w:rsidRDefault="00F96E29" w:rsidP="00ED5ECA">
                      <w:pPr>
                        <w:rPr>
                          <w:b/>
                        </w:rPr>
                      </w:pPr>
                      <w:r w:rsidRPr="00263EBC">
                        <w:rPr>
                          <w:b/>
                        </w:rPr>
                        <w:t xml:space="preserve">Priority Areas for Action </w:t>
                      </w:r>
                    </w:p>
                    <w:p w14:paraId="131CC86F" w14:textId="711AFAF0" w:rsidR="00F96E29" w:rsidRPr="00263EBC" w:rsidRDefault="00F96E29" w:rsidP="00ED5ECA">
                      <w:pPr>
                        <w:rPr>
                          <w:rFonts w:eastAsia="Times New Roman" w:cs="Times New Roman"/>
                          <w:color w:val="1F4D78"/>
                        </w:rPr>
                      </w:pPr>
                      <w:r>
                        <w:rPr>
                          <w:rFonts w:eastAsia="Times New Roman" w:cs="Palatino Linotype"/>
                          <w:b/>
                          <w:bCs/>
                          <w:color w:val="939597"/>
                        </w:rPr>
                        <w:t>5</w:t>
                      </w:r>
                      <w:r w:rsidRPr="00263EBC">
                        <w:rPr>
                          <w:rFonts w:eastAsia="Times New Roman" w:cs="Palatino Linotype"/>
                          <w:b/>
                          <w:bCs/>
                          <w:color w:val="939597"/>
                        </w:rPr>
                        <w:t>.1</w:t>
                      </w:r>
                      <w:r>
                        <w:rPr>
                          <w:rFonts w:eastAsia="Times New Roman" w:cs="Palatino Linotype"/>
                          <w:b/>
                          <w:bCs/>
                          <w:color w:val="939597"/>
                        </w:rPr>
                        <w:t xml:space="preserve"> </w:t>
                      </w:r>
                      <w:r w:rsidRPr="0074275B">
                        <w:rPr>
                          <w:rFonts w:eastAsia="Times New Roman" w:cs="Times New Roman"/>
                        </w:rPr>
                        <w:t xml:space="preserve">Create a sustainably funded national One Health surveillance system that integrates human, animal, food and environmental usage and resistance data </w:t>
                      </w:r>
                    </w:p>
                    <w:p w14:paraId="5242121B" w14:textId="77777777" w:rsidR="00F96E29" w:rsidRDefault="00F96E29" w:rsidP="00ED5ECA">
                      <w:pPr>
                        <w:rPr>
                          <w:rFonts w:eastAsia="Times New Roman" w:cs="Times New Roman"/>
                        </w:rPr>
                      </w:pPr>
                      <w:r>
                        <w:rPr>
                          <w:rFonts w:eastAsia="Times New Roman" w:cs="Palatino Linotype"/>
                          <w:b/>
                          <w:bCs/>
                          <w:color w:val="939597"/>
                        </w:rPr>
                        <w:t>5</w:t>
                      </w:r>
                      <w:r w:rsidRPr="00263EBC">
                        <w:rPr>
                          <w:rFonts w:eastAsia="Times New Roman" w:cs="Palatino Linotype"/>
                          <w:b/>
                          <w:bCs/>
                          <w:color w:val="939597"/>
                        </w:rPr>
                        <w:t>.2</w:t>
                      </w:r>
                      <w:r>
                        <w:rPr>
                          <w:rFonts w:eastAsia="Times New Roman" w:cs="Palatino Linotype"/>
                          <w:b/>
                          <w:bCs/>
                          <w:color w:val="939597"/>
                        </w:rPr>
                        <w:t xml:space="preserve"> </w:t>
                      </w:r>
                      <w:r w:rsidRPr="0074275B">
                        <w:rPr>
                          <w:rFonts w:eastAsia="Times New Roman" w:cs="Times New Roman"/>
                        </w:rPr>
                        <w:t>Develop and regularly review lists of priority organisms and associated antimicrobials</w:t>
                      </w:r>
                    </w:p>
                    <w:p w14:paraId="4BBD871A" w14:textId="7A549B62" w:rsidR="00F96E29" w:rsidRPr="00263EBC" w:rsidRDefault="00F96E29" w:rsidP="00ED5ECA">
                      <w:pPr>
                        <w:rPr>
                          <w:rFonts w:eastAsia="Times New Roman" w:cs="Times New Roman"/>
                          <w:color w:val="1F4D78"/>
                        </w:rPr>
                      </w:pPr>
                      <w:r>
                        <w:rPr>
                          <w:rFonts w:eastAsia="Times New Roman" w:cs="Palatino Linotype"/>
                          <w:b/>
                          <w:bCs/>
                          <w:color w:val="939597"/>
                        </w:rPr>
                        <w:t>5</w:t>
                      </w:r>
                      <w:r w:rsidRPr="00263EBC">
                        <w:rPr>
                          <w:rFonts w:eastAsia="Times New Roman" w:cs="Palatino Linotype"/>
                          <w:b/>
                          <w:bCs/>
                          <w:color w:val="939597"/>
                        </w:rPr>
                        <w:t>.3</w:t>
                      </w:r>
                      <w:r>
                        <w:rPr>
                          <w:rFonts w:eastAsia="Times New Roman" w:cs="Palatino Linotype"/>
                          <w:b/>
                          <w:bCs/>
                          <w:color w:val="939597"/>
                        </w:rPr>
                        <w:t xml:space="preserve"> </w:t>
                      </w:r>
                      <w:r w:rsidR="00DD777D" w:rsidRPr="00AA1C4F">
                        <w:rPr>
                          <w:rFonts w:eastAsia="Times New Roman" w:cs="Times New Roman"/>
                        </w:rPr>
                        <w:t xml:space="preserve">Implement </w:t>
                      </w:r>
                      <w:r w:rsidR="00DD777D" w:rsidRPr="00DD777D">
                        <w:rPr>
                          <w:rFonts w:eastAsia="Times New Roman" w:cs="Times New Roman"/>
                        </w:rPr>
                        <w:t>n</w:t>
                      </w:r>
                      <w:r w:rsidRPr="00DD777D">
                        <w:rPr>
                          <w:rFonts w:eastAsia="Times New Roman" w:cs="Times New Roman"/>
                        </w:rPr>
                        <w:t>ational</w:t>
                      </w:r>
                      <w:r>
                        <w:rPr>
                          <w:rFonts w:eastAsia="Times New Roman" w:cs="Times New Roman"/>
                        </w:rPr>
                        <w:t xml:space="preserve"> alignment of</w:t>
                      </w:r>
                      <w:r w:rsidRPr="0074275B">
                        <w:rPr>
                          <w:rFonts w:eastAsia="Times New Roman" w:cs="Times New Roman"/>
                        </w:rPr>
                        <w:t xml:space="preserve"> laboratory testing practices</w:t>
                      </w:r>
                      <w:r>
                        <w:rPr>
                          <w:rFonts w:eastAsia="Times New Roman" w:cs="Times New Roman"/>
                        </w:rPr>
                        <w:t xml:space="preserve"> and reporting</w:t>
                      </w:r>
                      <w:r w:rsidRPr="0074275B">
                        <w:rPr>
                          <w:rFonts w:eastAsia="Times New Roman" w:cs="Times New Roman"/>
                        </w:rPr>
                        <w:t xml:space="preserve"> for antimicrobial resistance </w:t>
                      </w:r>
                    </w:p>
                    <w:p w14:paraId="40F4BC7F" w14:textId="77777777" w:rsidR="00F96E29" w:rsidRPr="00CE0900" w:rsidRDefault="00F96E29" w:rsidP="00ED5ECA">
                      <w:pPr>
                        <w:rPr>
                          <w:rFonts w:eastAsia="Times New Roman" w:cs="Palatino Linotype"/>
                          <w:b/>
                          <w:bCs/>
                          <w:color w:val="939597"/>
                        </w:rPr>
                      </w:pPr>
                      <w:r>
                        <w:rPr>
                          <w:rFonts w:eastAsia="Times New Roman" w:cs="Palatino Linotype"/>
                          <w:b/>
                          <w:bCs/>
                          <w:color w:val="939597"/>
                        </w:rPr>
                        <w:t>5</w:t>
                      </w:r>
                      <w:r w:rsidRPr="00263EBC">
                        <w:rPr>
                          <w:rFonts w:eastAsia="Times New Roman" w:cs="Palatino Linotype"/>
                          <w:b/>
                          <w:bCs/>
                          <w:color w:val="939597"/>
                        </w:rPr>
                        <w:t>.4</w:t>
                      </w:r>
                      <w:r>
                        <w:rPr>
                          <w:rFonts w:eastAsia="Times New Roman" w:cs="Palatino Linotype"/>
                          <w:b/>
                          <w:bCs/>
                          <w:color w:val="939597"/>
                        </w:rPr>
                        <w:t xml:space="preserve"> </w:t>
                      </w:r>
                      <w:r>
                        <w:rPr>
                          <w:rFonts w:eastAsia="Times New Roman" w:cs="Times New Roman"/>
                        </w:rPr>
                        <w:t>Use</w:t>
                      </w:r>
                      <w:r w:rsidRPr="0074275B">
                        <w:rPr>
                          <w:rFonts w:eastAsia="Times New Roman" w:cs="Times New Roman"/>
                        </w:rPr>
                        <w:t xml:space="preserve"> evidence-based surveillance and monitoring data to inform actions and responses to </w:t>
                      </w:r>
                      <w:r>
                        <w:rPr>
                          <w:rFonts w:eastAsia="Times New Roman" w:cs="Times New Roman"/>
                        </w:rPr>
                        <w:t xml:space="preserve">contain </w:t>
                      </w:r>
                      <w:r w:rsidRPr="0074275B">
                        <w:rPr>
                          <w:rFonts w:eastAsia="Times New Roman" w:cs="Times New Roman"/>
                        </w:rPr>
                        <w:t>antimicrobial resistance</w:t>
                      </w:r>
                    </w:p>
                  </w:txbxContent>
                </v:textbox>
                <w10:anchorlock/>
              </v:shape>
            </w:pict>
          </mc:Fallback>
        </mc:AlternateContent>
      </w:r>
    </w:p>
    <w:p w14:paraId="2BD2D3EC" w14:textId="4D3C2982" w:rsidR="000C4C2B" w:rsidRPr="006E255B" w:rsidRDefault="000C4C2B" w:rsidP="000C4C2B">
      <w:pPr>
        <w:spacing w:after="120" w:line="240" w:lineRule="auto"/>
        <w:rPr>
          <w:rFonts w:ascii="Calibri Light" w:hAnsi="Calibri Light" w:cs="Calibri Light"/>
        </w:rPr>
      </w:pPr>
      <w:r w:rsidRPr="006E255B">
        <w:rPr>
          <w:rFonts w:ascii="Calibri Light" w:hAnsi="Calibri Light" w:cs="Calibri Light"/>
        </w:rPr>
        <w:t xml:space="preserve">To understand the magnitude, distribution and impact of resistant organisms – as well as identify emerging resistant organisms and trends, and </w:t>
      </w:r>
      <w:r w:rsidR="00AF3835" w:rsidRPr="006E255B">
        <w:rPr>
          <w:rFonts w:ascii="Calibri Light" w:hAnsi="Calibri Light" w:cs="Calibri Light"/>
        </w:rPr>
        <w:t>establish</w:t>
      </w:r>
      <w:r w:rsidRPr="006E255B">
        <w:rPr>
          <w:rFonts w:ascii="Calibri Light" w:hAnsi="Calibri Light" w:cs="Calibri Light"/>
        </w:rPr>
        <w:t xml:space="preserve"> links between usage and resistance across all sectors – </w:t>
      </w:r>
      <w:r w:rsidR="00624433" w:rsidRPr="006E255B">
        <w:rPr>
          <w:rFonts w:ascii="Calibri Light" w:hAnsi="Calibri Light" w:cs="Calibri Light"/>
        </w:rPr>
        <w:t>it is vital that</w:t>
      </w:r>
      <w:r w:rsidRPr="006E255B">
        <w:rPr>
          <w:rFonts w:ascii="Calibri Light" w:hAnsi="Calibri Light" w:cs="Calibri Light"/>
        </w:rPr>
        <w:t xml:space="preserve"> </w:t>
      </w:r>
      <w:r w:rsidR="00AF3835" w:rsidRPr="006E255B">
        <w:rPr>
          <w:rFonts w:ascii="Calibri Light" w:hAnsi="Calibri Light" w:cs="Calibri Light"/>
        </w:rPr>
        <w:t xml:space="preserve">a </w:t>
      </w:r>
      <w:r w:rsidRPr="006E255B">
        <w:rPr>
          <w:rFonts w:ascii="Calibri Light" w:hAnsi="Calibri Light" w:cs="Calibri Light"/>
        </w:rPr>
        <w:t>nationally coordinated surveillance</w:t>
      </w:r>
      <w:r w:rsidR="00624433" w:rsidRPr="006E255B">
        <w:rPr>
          <w:rFonts w:ascii="Calibri Light" w:hAnsi="Calibri Light" w:cs="Calibri Light"/>
        </w:rPr>
        <w:t xml:space="preserve"> </w:t>
      </w:r>
      <w:r w:rsidR="007A5DCB" w:rsidRPr="006E255B">
        <w:rPr>
          <w:rFonts w:ascii="Calibri Light" w:hAnsi="Calibri Light" w:cs="Calibri Light"/>
        </w:rPr>
        <w:t xml:space="preserve">system covering all sectors </w:t>
      </w:r>
      <w:r w:rsidR="00AF3835" w:rsidRPr="006E255B">
        <w:rPr>
          <w:rFonts w:ascii="Calibri Light" w:hAnsi="Calibri Light" w:cs="Calibri Light"/>
        </w:rPr>
        <w:t xml:space="preserve">be </w:t>
      </w:r>
      <w:r w:rsidR="007A5DCB" w:rsidRPr="006E255B">
        <w:rPr>
          <w:rFonts w:ascii="Calibri Light" w:hAnsi="Calibri Light" w:cs="Calibri Light"/>
        </w:rPr>
        <w:t>established</w:t>
      </w:r>
      <w:r w:rsidR="00624433" w:rsidRPr="006E255B">
        <w:rPr>
          <w:rFonts w:ascii="Calibri Light" w:hAnsi="Calibri Light" w:cs="Calibri Light"/>
        </w:rPr>
        <w:t>. This knowledge will, i</w:t>
      </w:r>
      <w:r w:rsidRPr="006E255B">
        <w:rPr>
          <w:rFonts w:ascii="Calibri Light" w:hAnsi="Calibri Light" w:cs="Calibri Light"/>
        </w:rPr>
        <w:t xml:space="preserve">n turn, </w:t>
      </w:r>
      <w:r w:rsidR="00624433" w:rsidRPr="006E255B">
        <w:rPr>
          <w:rFonts w:ascii="Calibri Light" w:hAnsi="Calibri Light" w:cs="Calibri Light"/>
        </w:rPr>
        <w:t xml:space="preserve">be </w:t>
      </w:r>
      <w:r w:rsidRPr="006E255B">
        <w:rPr>
          <w:rFonts w:ascii="Calibri Light" w:hAnsi="Calibri Light" w:cs="Calibri Light"/>
        </w:rPr>
        <w:t>used to support policy development, prioritise actions and resources, and advocate Australia</w:t>
      </w:r>
      <w:r w:rsidR="000D6475">
        <w:rPr>
          <w:rFonts w:ascii="Calibri Light" w:hAnsi="Calibri Light" w:cs="Calibri Light"/>
        </w:rPr>
        <w:t>’</w:t>
      </w:r>
      <w:r w:rsidRPr="006E255B">
        <w:rPr>
          <w:rFonts w:ascii="Calibri Light" w:hAnsi="Calibri Light" w:cs="Calibri Light"/>
        </w:rPr>
        <w:t>s position in trade-related forums.</w:t>
      </w:r>
    </w:p>
    <w:p w14:paraId="5218C71F" w14:textId="77777777" w:rsidR="00AF3835" w:rsidRPr="006E255B" w:rsidRDefault="007A5DCB" w:rsidP="00AF3835">
      <w:pPr>
        <w:spacing w:after="120" w:line="240" w:lineRule="auto"/>
        <w:rPr>
          <w:rFonts w:ascii="Calibri Light" w:hAnsi="Calibri Light" w:cs="Calibri Light"/>
        </w:rPr>
      </w:pPr>
      <w:r w:rsidRPr="006E255B">
        <w:rPr>
          <w:rFonts w:ascii="Calibri Light" w:hAnsi="Calibri Light" w:cs="Calibri Light"/>
        </w:rPr>
        <w:t>T</w:t>
      </w:r>
      <w:r w:rsidR="00AF3835" w:rsidRPr="006E255B">
        <w:rPr>
          <w:rFonts w:ascii="Calibri Light" w:hAnsi="Calibri Light" w:cs="Calibri Light"/>
        </w:rPr>
        <w:t xml:space="preserve">he </w:t>
      </w:r>
      <w:r w:rsidR="00924A2A">
        <w:rPr>
          <w:rFonts w:ascii="Calibri Light" w:hAnsi="Calibri Light" w:cs="Calibri Light"/>
        </w:rPr>
        <w:t>beginning</w:t>
      </w:r>
      <w:r w:rsidR="00633D41">
        <w:rPr>
          <w:rFonts w:ascii="Calibri Light" w:hAnsi="Calibri Light" w:cs="Calibri Light"/>
        </w:rPr>
        <w:t>s</w:t>
      </w:r>
      <w:r w:rsidR="00924A2A">
        <w:rPr>
          <w:rFonts w:ascii="Calibri Light" w:hAnsi="Calibri Light" w:cs="Calibri Light"/>
        </w:rPr>
        <w:t xml:space="preserve"> of</w:t>
      </w:r>
      <w:r w:rsidR="00AF3835" w:rsidRPr="006E255B">
        <w:rPr>
          <w:rFonts w:ascii="Calibri Light" w:hAnsi="Calibri Light" w:cs="Calibri Light"/>
        </w:rPr>
        <w:t xml:space="preserve"> </w:t>
      </w:r>
      <w:r w:rsidRPr="006E255B">
        <w:rPr>
          <w:rFonts w:ascii="Calibri Light" w:hAnsi="Calibri Light" w:cs="Calibri Light"/>
        </w:rPr>
        <w:t xml:space="preserve">a </w:t>
      </w:r>
      <w:r w:rsidR="00AF3835" w:rsidRPr="006E255B">
        <w:rPr>
          <w:rFonts w:ascii="Calibri Light" w:hAnsi="Calibri Light" w:cs="Calibri Light"/>
        </w:rPr>
        <w:t xml:space="preserve">One Health surveillance </w:t>
      </w:r>
      <w:r w:rsidRPr="006E255B">
        <w:rPr>
          <w:rFonts w:ascii="Calibri Light" w:hAnsi="Calibri Light" w:cs="Calibri Light"/>
        </w:rPr>
        <w:t>approach</w:t>
      </w:r>
      <w:r w:rsidR="00FD0EF2" w:rsidRPr="006E255B">
        <w:rPr>
          <w:rFonts w:ascii="Calibri Light" w:hAnsi="Calibri Light" w:cs="Calibri Light"/>
        </w:rPr>
        <w:t xml:space="preserve"> – </w:t>
      </w:r>
      <w:r w:rsidR="00AF3835" w:rsidRPr="006E255B">
        <w:rPr>
          <w:rFonts w:ascii="Calibri Light" w:hAnsi="Calibri Light" w:cs="Calibri Light"/>
        </w:rPr>
        <w:t>including governance arrangements to foster cross-sector collaboration and information sharing</w:t>
      </w:r>
      <w:r w:rsidR="00FD0EF2" w:rsidRPr="006E255B">
        <w:rPr>
          <w:rFonts w:ascii="Calibri Light" w:hAnsi="Calibri Light" w:cs="Calibri Light"/>
        </w:rPr>
        <w:t xml:space="preserve"> – </w:t>
      </w:r>
      <w:r w:rsidR="002A23B6" w:rsidRPr="006E255B">
        <w:rPr>
          <w:rFonts w:ascii="Calibri Light" w:hAnsi="Calibri Light" w:cs="Calibri Light"/>
        </w:rPr>
        <w:t>have been gradually developed</w:t>
      </w:r>
      <w:r w:rsidR="00FD0EF2" w:rsidRPr="006E255B">
        <w:rPr>
          <w:rFonts w:ascii="Calibri Light" w:hAnsi="Calibri Light" w:cs="Calibri Light"/>
        </w:rPr>
        <w:t xml:space="preserve"> </w:t>
      </w:r>
      <w:r w:rsidR="002A23B6" w:rsidRPr="006E255B">
        <w:rPr>
          <w:rFonts w:ascii="Calibri Light" w:hAnsi="Calibri Light" w:cs="Calibri Light"/>
        </w:rPr>
        <w:t xml:space="preserve">in </w:t>
      </w:r>
      <w:r w:rsidR="00FD0EF2" w:rsidRPr="006E255B">
        <w:rPr>
          <w:rFonts w:ascii="Calibri Light" w:hAnsi="Calibri Light" w:cs="Calibri Light"/>
        </w:rPr>
        <w:t>Australia</w:t>
      </w:r>
      <w:r w:rsidR="002A23B6" w:rsidRPr="006E255B">
        <w:rPr>
          <w:rFonts w:ascii="Calibri Light" w:hAnsi="Calibri Light" w:cs="Calibri Light"/>
        </w:rPr>
        <w:t>, but only in the</w:t>
      </w:r>
      <w:r w:rsidR="00FD0EF2" w:rsidRPr="006E255B">
        <w:rPr>
          <w:rFonts w:ascii="Calibri Light" w:hAnsi="Calibri Light" w:cs="Calibri Light"/>
        </w:rPr>
        <w:t xml:space="preserve"> </w:t>
      </w:r>
      <w:r w:rsidR="00AF3835" w:rsidRPr="006E255B">
        <w:rPr>
          <w:rFonts w:ascii="Calibri Light" w:hAnsi="Calibri Light" w:cs="Calibri Light"/>
        </w:rPr>
        <w:t>human health</w:t>
      </w:r>
      <w:r w:rsidR="002A23B6" w:rsidRPr="006E255B">
        <w:rPr>
          <w:rFonts w:ascii="Calibri Light" w:hAnsi="Calibri Light" w:cs="Calibri Light"/>
        </w:rPr>
        <w:t xml:space="preserve"> sector. T</w:t>
      </w:r>
      <w:r w:rsidR="00AF3835" w:rsidRPr="006E255B">
        <w:rPr>
          <w:rFonts w:ascii="Calibri Light" w:hAnsi="Calibri Light" w:cs="Calibri Light"/>
        </w:rPr>
        <w:t xml:space="preserve">he Antimicrobial Use and Resistance in Australia (AURA) Surveillance System collects and reports data from partner programs across acute and community healthcare settings, and provides integrated reporting on priority organisms and antimicrobial use, and appropriateness of use, at a national level. </w:t>
      </w:r>
    </w:p>
    <w:p w14:paraId="1B9BC78E" w14:textId="0E726923" w:rsidR="008E780F" w:rsidRPr="006E255B" w:rsidRDefault="00FD41B1" w:rsidP="00263EBC">
      <w:pPr>
        <w:spacing w:after="120" w:line="240" w:lineRule="auto"/>
        <w:rPr>
          <w:rFonts w:ascii="Calibri Light" w:hAnsi="Calibri Light" w:cs="Calibri Light"/>
        </w:rPr>
      </w:pPr>
      <w:r w:rsidRPr="006E255B">
        <w:rPr>
          <w:rFonts w:ascii="Calibri Light" w:hAnsi="Calibri Light" w:cs="Calibri Light"/>
        </w:rPr>
        <w:t>C</w:t>
      </w:r>
      <w:r w:rsidR="004E32AB" w:rsidRPr="006E255B">
        <w:rPr>
          <w:rFonts w:ascii="Calibri Light" w:hAnsi="Calibri Light" w:cs="Calibri Light"/>
        </w:rPr>
        <w:t xml:space="preserve">omparable progress in surveillance across the </w:t>
      </w:r>
      <w:r w:rsidR="00882956" w:rsidRPr="006E255B">
        <w:rPr>
          <w:rFonts w:ascii="Calibri Light" w:hAnsi="Calibri Light" w:cs="Calibri Light"/>
        </w:rPr>
        <w:t>animal health</w:t>
      </w:r>
      <w:r w:rsidR="007256D3" w:rsidRPr="006E255B">
        <w:rPr>
          <w:rFonts w:ascii="Calibri Light" w:hAnsi="Calibri Light" w:cs="Calibri Light"/>
        </w:rPr>
        <w:t xml:space="preserve"> </w:t>
      </w:r>
      <w:r w:rsidR="004E32AB" w:rsidRPr="006E255B">
        <w:rPr>
          <w:rFonts w:ascii="Calibri Light" w:hAnsi="Calibri Light" w:cs="Calibri Light"/>
        </w:rPr>
        <w:t xml:space="preserve">or </w:t>
      </w:r>
      <w:r w:rsidR="007256D3" w:rsidRPr="006E255B">
        <w:rPr>
          <w:rFonts w:ascii="Calibri Light" w:hAnsi="Calibri Light" w:cs="Calibri Light"/>
        </w:rPr>
        <w:t>environment</w:t>
      </w:r>
      <w:r w:rsidR="00882956" w:rsidRPr="006E255B">
        <w:rPr>
          <w:rFonts w:ascii="Calibri Light" w:hAnsi="Calibri Light" w:cs="Calibri Light"/>
        </w:rPr>
        <w:t xml:space="preserve"> sector</w:t>
      </w:r>
      <w:r w:rsidR="007256D3" w:rsidRPr="006E255B">
        <w:rPr>
          <w:rFonts w:ascii="Calibri Light" w:hAnsi="Calibri Light" w:cs="Calibri Light"/>
        </w:rPr>
        <w:t xml:space="preserve">s </w:t>
      </w:r>
      <w:r w:rsidRPr="006E255B">
        <w:rPr>
          <w:rFonts w:ascii="Calibri Light" w:hAnsi="Calibri Light" w:cs="Calibri Light"/>
        </w:rPr>
        <w:t>has</w:t>
      </w:r>
      <w:r w:rsidR="004E32AB" w:rsidRPr="006E255B">
        <w:rPr>
          <w:rFonts w:ascii="Calibri Light" w:hAnsi="Calibri Light" w:cs="Calibri Light"/>
        </w:rPr>
        <w:t xml:space="preserve"> </w:t>
      </w:r>
      <w:r w:rsidR="002A23B6" w:rsidRPr="006E255B">
        <w:rPr>
          <w:rFonts w:ascii="Calibri Light" w:hAnsi="Calibri Light" w:cs="Calibri Light"/>
        </w:rPr>
        <w:t xml:space="preserve">not been </w:t>
      </w:r>
      <w:r w:rsidR="00882956" w:rsidRPr="006E255B">
        <w:rPr>
          <w:rFonts w:ascii="Calibri Light" w:hAnsi="Calibri Light" w:cs="Calibri Light"/>
        </w:rPr>
        <w:t>made</w:t>
      </w:r>
      <w:r w:rsidR="00150A82" w:rsidRPr="006E255B">
        <w:rPr>
          <w:rFonts w:ascii="Calibri Light" w:hAnsi="Calibri Light" w:cs="Calibri Light"/>
        </w:rPr>
        <w:t xml:space="preserve">. </w:t>
      </w:r>
      <w:r w:rsidR="00253BFC" w:rsidRPr="006E255B">
        <w:rPr>
          <w:rFonts w:ascii="Calibri Light" w:hAnsi="Calibri Light" w:cs="Calibri Light"/>
        </w:rPr>
        <w:t>Hence, there is an opportunity to u</w:t>
      </w:r>
      <w:r w:rsidR="00DD777D">
        <w:rPr>
          <w:rFonts w:ascii="Calibri Light" w:hAnsi="Calibri Light" w:cs="Calibri Light"/>
        </w:rPr>
        <w:t>se</w:t>
      </w:r>
      <w:r w:rsidR="00253BFC" w:rsidRPr="006E255B">
        <w:rPr>
          <w:rFonts w:ascii="Calibri Light" w:hAnsi="Calibri Light" w:cs="Calibri Light"/>
        </w:rPr>
        <w:t xml:space="preserve"> t</w:t>
      </w:r>
      <w:r w:rsidRPr="006E255B">
        <w:rPr>
          <w:rFonts w:ascii="Calibri Light" w:hAnsi="Calibri Light" w:cs="Calibri Light"/>
        </w:rPr>
        <w:t xml:space="preserve">he existing </w:t>
      </w:r>
      <w:r w:rsidR="008E780F" w:rsidRPr="006E255B">
        <w:rPr>
          <w:rFonts w:ascii="Calibri Light" w:hAnsi="Calibri Light" w:cs="Calibri Light"/>
        </w:rPr>
        <w:t xml:space="preserve">AURA Surveillance System </w:t>
      </w:r>
      <w:r w:rsidR="00253BFC" w:rsidRPr="006E255B">
        <w:rPr>
          <w:rFonts w:ascii="Calibri Light" w:hAnsi="Calibri Light" w:cs="Calibri Light"/>
        </w:rPr>
        <w:t>as</w:t>
      </w:r>
      <w:r w:rsidRPr="006E255B">
        <w:rPr>
          <w:rFonts w:ascii="Calibri Light" w:hAnsi="Calibri Light" w:cs="Calibri Light"/>
        </w:rPr>
        <w:t xml:space="preserve"> </w:t>
      </w:r>
      <w:r w:rsidR="00253BFC" w:rsidRPr="006E255B">
        <w:rPr>
          <w:rFonts w:ascii="Calibri Light" w:hAnsi="Calibri Light" w:cs="Calibri Light"/>
        </w:rPr>
        <w:t xml:space="preserve">the </w:t>
      </w:r>
      <w:r w:rsidR="00C65F27">
        <w:rPr>
          <w:rFonts w:ascii="Calibri Light" w:hAnsi="Calibri Light" w:cs="Calibri Light"/>
        </w:rPr>
        <w:t>model</w:t>
      </w:r>
      <w:r w:rsidR="00C65F27" w:rsidRPr="006E255B">
        <w:rPr>
          <w:rFonts w:ascii="Calibri Light" w:hAnsi="Calibri Light" w:cs="Calibri Light"/>
        </w:rPr>
        <w:t xml:space="preserve"> </w:t>
      </w:r>
      <w:r w:rsidR="00253BFC" w:rsidRPr="006E255B">
        <w:rPr>
          <w:rFonts w:ascii="Calibri Light" w:hAnsi="Calibri Light" w:cs="Calibri Light"/>
        </w:rPr>
        <w:t>for a nationally</w:t>
      </w:r>
      <w:r w:rsidR="002B004A">
        <w:rPr>
          <w:rFonts w:ascii="Calibri Light" w:hAnsi="Calibri Light" w:cs="Calibri Light"/>
        </w:rPr>
        <w:t>-</w:t>
      </w:r>
      <w:r w:rsidR="00253BFC" w:rsidRPr="006E255B">
        <w:rPr>
          <w:rFonts w:ascii="Calibri Light" w:hAnsi="Calibri Light" w:cs="Calibri Light"/>
        </w:rPr>
        <w:t xml:space="preserve">coordinated surveillance system, to </w:t>
      </w:r>
      <w:r w:rsidR="008E780F" w:rsidRPr="006E255B">
        <w:rPr>
          <w:rFonts w:ascii="Calibri Light" w:hAnsi="Calibri Light" w:cs="Calibri Light"/>
        </w:rPr>
        <w:t xml:space="preserve">which other sectors can </w:t>
      </w:r>
      <w:r w:rsidR="00BC1022" w:rsidRPr="006E255B">
        <w:rPr>
          <w:rFonts w:ascii="Calibri Light" w:hAnsi="Calibri Light" w:cs="Calibri Light"/>
        </w:rPr>
        <w:t>add</w:t>
      </w:r>
      <w:r w:rsidR="00150A82" w:rsidRPr="006E255B">
        <w:rPr>
          <w:rFonts w:ascii="Calibri Light" w:hAnsi="Calibri Light" w:cs="Calibri Light"/>
        </w:rPr>
        <w:t xml:space="preserve"> </w:t>
      </w:r>
      <w:r w:rsidR="008E780F" w:rsidRPr="006E255B">
        <w:rPr>
          <w:rFonts w:ascii="Calibri Light" w:hAnsi="Calibri Light" w:cs="Calibri Light"/>
        </w:rPr>
        <w:t xml:space="preserve">data </w:t>
      </w:r>
      <w:r w:rsidR="00BC1022" w:rsidRPr="006E255B">
        <w:rPr>
          <w:rFonts w:ascii="Calibri Light" w:hAnsi="Calibri Light" w:cs="Calibri Light"/>
        </w:rPr>
        <w:t xml:space="preserve">as it </w:t>
      </w:r>
      <w:r w:rsidR="008E780F" w:rsidRPr="006E255B">
        <w:rPr>
          <w:rFonts w:ascii="Calibri Light" w:hAnsi="Calibri Light" w:cs="Calibri Light"/>
        </w:rPr>
        <w:t>become</w:t>
      </w:r>
      <w:r w:rsidRPr="006E255B">
        <w:rPr>
          <w:rFonts w:ascii="Calibri Light" w:hAnsi="Calibri Light" w:cs="Calibri Light"/>
        </w:rPr>
        <w:t>s</w:t>
      </w:r>
      <w:r w:rsidR="008E780F" w:rsidRPr="006E255B">
        <w:rPr>
          <w:rFonts w:ascii="Calibri Light" w:hAnsi="Calibri Light" w:cs="Calibri Light"/>
        </w:rPr>
        <w:t xml:space="preserve"> available.</w:t>
      </w:r>
    </w:p>
    <w:p w14:paraId="42435D84" w14:textId="77777777" w:rsidR="00FF409B" w:rsidRPr="006E255B" w:rsidRDefault="0080060E" w:rsidP="00FF409B">
      <w:pPr>
        <w:spacing w:after="120" w:line="240" w:lineRule="auto"/>
        <w:rPr>
          <w:rFonts w:ascii="Calibri Light" w:hAnsi="Calibri Light" w:cs="Calibri Light"/>
        </w:rPr>
      </w:pPr>
      <w:r>
        <w:rPr>
          <w:rFonts w:ascii="Calibri Light" w:hAnsi="Calibri Light" w:cs="Calibri Light"/>
        </w:rPr>
        <w:t>In the animal sector, s</w:t>
      </w:r>
      <w:r w:rsidR="00FF409B" w:rsidRPr="006E255B">
        <w:rPr>
          <w:rFonts w:ascii="Calibri Light" w:hAnsi="Calibri Light" w:cs="Calibri Light"/>
        </w:rPr>
        <w:t xml:space="preserve">urveillance of antimicrobial resistance </w:t>
      </w:r>
      <w:r>
        <w:rPr>
          <w:rFonts w:ascii="Calibri Light" w:hAnsi="Calibri Light" w:cs="Calibri Light"/>
        </w:rPr>
        <w:t>has begun, co</w:t>
      </w:r>
      <w:r w:rsidR="00445B31">
        <w:rPr>
          <w:rFonts w:ascii="Calibri Light" w:hAnsi="Calibri Light" w:cs="Calibri Light"/>
        </w:rPr>
        <w:t xml:space="preserve">nducted by </w:t>
      </w:r>
      <w:r w:rsidR="00FF409B" w:rsidRPr="006E255B">
        <w:rPr>
          <w:rFonts w:ascii="Calibri Light" w:hAnsi="Calibri Light" w:cs="Calibri Light"/>
        </w:rPr>
        <w:t xml:space="preserve">the livestock industry and research groups. </w:t>
      </w:r>
      <w:r w:rsidR="00CE5BC4" w:rsidRPr="006E255B">
        <w:rPr>
          <w:rFonts w:ascii="Calibri Light" w:hAnsi="Calibri Light" w:cs="Calibri Light"/>
        </w:rPr>
        <w:t>In the environment and food sectors, f</w:t>
      </w:r>
      <w:r w:rsidR="00FF409B" w:rsidRPr="006E255B">
        <w:rPr>
          <w:rFonts w:ascii="Calibri Light" w:hAnsi="Calibri Light" w:cs="Calibri Light"/>
        </w:rPr>
        <w:t xml:space="preserve">urther assessment is required to determine what antimicrobial resistance and usage data </w:t>
      </w:r>
      <w:r w:rsidR="00FB258F" w:rsidRPr="006E255B">
        <w:rPr>
          <w:rFonts w:ascii="Calibri Light" w:hAnsi="Calibri Light" w:cs="Calibri Light"/>
        </w:rPr>
        <w:t>will be</w:t>
      </w:r>
      <w:r w:rsidR="00FF409B" w:rsidRPr="006E255B">
        <w:rPr>
          <w:rFonts w:ascii="Calibri Light" w:hAnsi="Calibri Light" w:cs="Calibri Light"/>
        </w:rPr>
        <w:t xml:space="preserve"> needed to inform policy. Expert advice from </w:t>
      </w:r>
      <w:r w:rsidR="0065574C">
        <w:rPr>
          <w:rFonts w:ascii="Calibri Light" w:hAnsi="Calibri Light" w:cs="Calibri Light"/>
        </w:rPr>
        <w:t xml:space="preserve">the </w:t>
      </w:r>
      <w:r w:rsidR="00FF409B" w:rsidRPr="006E255B">
        <w:rPr>
          <w:rFonts w:ascii="Calibri Light" w:hAnsi="Calibri Light" w:cs="Calibri Light"/>
        </w:rPr>
        <w:t xml:space="preserve">environmental health </w:t>
      </w:r>
      <w:r w:rsidR="00FB258F" w:rsidRPr="006E255B">
        <w:rPr>
          <w:rFonts w:ascii="Calibri Light" w:hAnsi="Calibri Light" w:cs="Calibri Light"/>
        </w:rPr>
        <w:t>sector</w:t>
      </w:r>
      <w:r w:rsidR="00FF409B" w:rsidRPr="006E255B">
        <w:rPr>
          <w:rFonts w:ascii="Calibri Light" w:hAnsi="Calibri Light" w:cs="Calibri Light"/>
        </w:rPr>
        <w:t xml:space="preserve"> </w:t>
      </w:r>
      <w:r w:rsidR="00FB258F" w:rsidRPr="006E255B">
        <w:rPr>
          <w:rFonts w:ascii="Calibri Light" w:hAnsi="Calibri Light" w:cs="Calibri Light"/>
        </w:rPr>
        <w:t>will be needed</w:t>
      </w:r>
      <w:r w:rsidR="00FF409B" w:rsidRPr="006E255B">
        <w:rPr>
          <w:rFonts w:ascii="Calibri Light" w:hAnsi="Calibri Light" w:cs="Calibri Light"/>
        </w:rPr>
        <w:t xml:space="preserve"> to plan a risk-based approach to the staged collection and analysis of data </w:t>
      </w:r>
      <w:r w:rsidR="00FB258F" w:rsidRPr="006E255B">
        <w:rPr>
          <w:rFonts w:ascii="Calibri Light" w:hAnsi="Calibri Light" w:cs="Calibri Light"/>
        </w:rPr>
        <w:t xml:space="preserve">that can </w:t>
      </w:r>
      <w:r w:rsidR="00FF409B" w:rsidRPr="006E255B">
        <w:rPr>
          <w:rFonts w:ascii="Calibri Light" w:hAnsi="Calibri Light" w:cs="Calibri Light"/>
        </w:rPr>
        <w:t>contribute to a One Health surveillance system in the future.</w:t>
      </w:r>
    </w:p>
    <w:p w14:paraId="2D675D02" w14:textId="77777777" w:rsidR="00FB258F" w:rsidRPr="006E255B" w:rsidRDefault="00FB258F" w:rsidP="00FB258F">
      <w:pPr>
        <w:spacing w:after="120" w:line="240" w:lineRule="auto"/>
        <w:rPr>
          <w:rFonts w:ascii="Calibri Light" w:hAnsi="Calibri Light" w:cs="Calibri Light"/>
        </w:rPr>
      </w:pPr>
      <w:r w:rsidRPr="006E255B">
        <w:rPr>
          <w:rFonts w:ascii="Calibri Light" w:hAnsi="Calibri Light" w:cs="Calibri Light"/>
        </w:rPr>
        <w:t xml:space="preserve">To meet our international obligations and address potential trade issues, Australian surveillance must have the capacity to contribute to the </w:t>
      </w:r>
      <w:r w:rsidR="00B45DEB" w:rsidRPr="006E255B">
        <w:rPr>
          <w:rFonts w:ascii="Calibri Light" w:hAnsi="Calibri Light" w:cs="Calibri Light"/>
        </w:rPr>
        <w:t xml:space="preserve">existing </w:t>
      </w:r>
      <w:r w:rsidRPr="006E255B">
        <w:rPr>
          <w:rFonts w:ascii="Calibri Light" w:hAnsi="Calibri Light" w:cs="Calibri Light"/>
        </w:rPr>
        <w:t>global surveillance data</w:t>
      </w:r>
      <w:r w:rsidR="00B45DEB" w:rsidRPr="006E255B">
        <w:rPr>
          <w:rFonts w:ascii="Calibri Light" w:hAnsi="Calibri Light" w:cs="Calibri Light"/>
        </w:rPr>
        <w:t>bases</w:t>
      </w:r>
      <w:r w:rsidRPr="006E255B">
        <w:rPr>
          <w:rFonts w:ascii="Calibri Light" w:hAnsi="Calibri Light" w:cs="Calibri Light"/>
        </w:rPr>
        <w:t>, including the World Health Organization</w:t>
      </w:r>
      <w:r w:rsidR="000D6475">
        <w:rPr>
          <w:rFonts w:ascii="Calibri Light" w:hAnsi="Calibri Light" w:cs="Calibri Light"/>
        </w:rPr>
        <w:t>’</w:t>
      </w:r>
      <w:r w:rsidRPr="006E255B">
        <w:rPr>
          <w:rFonts w:ascii="Calibri Light" w:hAnsi="Calibri Light" w:cs="Calibri Light"/>
        </w:rPr>
        <w:t>s Global Antimicrobial Resistance Surveillance System (GLASS), the World Organisation for Animal Health</w:t>
      </w:r>
      <w:r w:rsidR="000D6475">
        <w:rPr>
          <w:rFonts w:ascii="Calibri Light" w:hAnsi="Calibri Light" w:cs="Calibri Light"/>
        </w:rPr>
        <w:t>’</w:t>
      </w:r>
      <w:r w:rsidR="00B45DEB" w:rsidRPr="006E255B">
        <w:rPr>
          <w:rFonts w:ascii="Calibri Light" w:hAnsi="Calibri Light" w:cs="Calibri Light"/>
        </w:rPr>
        <w:t>s</w:t>
      </w:r>
      <w:r w:rsidRPr="006E255B">
        <w:rPr>
          <w:rFonts w:ascii="Calibri Light" w:hAnsi="Calibri Light" w:cs="Calibri Light"/>
        </w:rPr>
        <w:t xml:space="preserve"> (OIE) global database on the use of antimicrobial agents in animals, and </w:t>
      </w:r>
      <w:r w:rsidR="00B45DEB" w:rsidRPr="006E255B">
        <w:rPr>
          <w:rFonts w:ascii="Calibri Light" w:hAnsi="Calibri Light" w:cs="Calibri Light"/>
        </w:rPr>
        <w:t xml:space="preserve">other </w:t>
      </w:r>
      <w:r w:rsidRPr="006E255B">
        <w:rPr>
          <w:rFonts w:ascii="Calibri Light" w:hAnsi="Calibri Light" w:cs="Calibri Light"/>
        </w:rPr>
        <w:t xml:space="preserve">future platforms </w:t>
      </w:r>
      <w:r w:rsidR="00773070">
        <w:rPr>
          <w:rFonts w:ascii="Calibri Light" w:hAnsi="Calibri Light" w:cs="Calibri Light"/>
        </w:rPr>
        <w:t>that may be developed</w:t>
      </w:r>
      <w:r w:rsidRPr="006E255B">
        <w:rPr>
          <w:rFonts w:ascii="Calibri Light" w:hAnsi="Calibri Light" w:cs="Calibri Light"/>
        </w:rPr>
        <w:t>.</w:t>
      </w:r>
    </w:p>
    <w:p w14:paraId="7167D736" w14:textId="77777777" w:rsidR="00E65954" w:rsidRPr="006E255B" w:rsidRDefault="00EC6F8A" w:rsidP="00EC6F8A">
      <w:pPr>
        <w:spacing w:after="120" w:line="240" w:lineRule="auto"/>
        <w:rPr>
          <w:rFonts w:ascii="Calibri Light" w:hAnsi="Calibri Light" w:cs="Calibri Light"/>
        </w:rPr>
      </w:pPr>
      <w:r w:rsidRPr="006E255B">
        <w:rPr>
          <w:rFonts w:ascii="Calibri Light" w:hAnsi="Calibri Light" w:cs="Calibri Light"/>
        </w:rPr>
        <w:t xml:space="preserve">Data collection </w:t>
      </w:r>
      <w:r w:rsidR="001E4CDC" w:rsidRPr="006E255B">
        <w:rPr>
          <w:rFonts w:ascii="Calibri Light" w:hAnsi="Calibri Light" w:cs="Calibri Light"/>
        </w:rPr>
        <w:t>mechanisms</w:t>
      </w:r>
      <w:r w:rsidRPr="006E255B">
        <w:rPr>
          <w:rFonts w:ascii="Calibri Light" w:hAnsi="Calibri Light" w:cs="Calibri Light"/>
        </w:rPr>
        <w:t xml:space="preserve"> </w:t>
      </w:r>
      <w:r w:rsidR="007D2F5A" w:rsidRPr="006E255B">
        <w:rPr>
          <w:rFonts w:ascii="Calibri Light" w:hAnsi="Calibri Light" w:cs="Calibri Light"/>
        </w:rPr>
        <w:t xml:space="preserve">will </w:t>
      </w:r>
      <w:r w:rsidRPr="006E255B">
        <w:rPr>
          <w:rFonts w:ascii="Calibri Light" w:hAnsi="Calibri Light" w:cs="Calibri Light"/>
        </w:rPr>
        <w:t>need to be transparent</w:t>
      </w:r>
      <w:r w:rsidR="007D2F5A" w:rsidRPr="006E255B">
        <w:rPr>
          <w:rFonts w:ascii="Calibri Light" w:hAnsi="Calibri Light" w:cs="Calibri Light"/>
        </w:rPr>
        <w:t xml:space="preserve">, </w:t>
      </w:r>
      <w:r w:rsidRPr="006E255B">
        <w:rPr>
          <w:rFonts w:ascii="Calibri Light" w:hAnsi="Calibri Light" w:cs="Calibri Light"/>
        </w:rPr>
        <w:t>and information sharing needs to be managed in a way that recognises commercial sensitivities.</w:t>
      </w:r>
      <w:r w:rsidR="007D2F5A" w:rsidRPr="006E255B">
        <w:rPr>
          <w:rFonts w:ascii="Calibri Light" w:hAnsi="Calibri Light" w:cs="Calibri Light"/>
        </w:rPr>
        <w:t xml:space="preserve"> </w:t>
      </w:r>
      <w:r w:rsidRPr="006E255B">
        <w:rPr>
          <w:rFonts w:ascii="Calibri Light" w:hAnsi="Calibri Light" w:cs="Calibri Light"/>
        </w:rPr>
        <w:t xml:space="preserve">Also </w:t>
      </w:r>
      <w:r w:rsidR="007D2F5A" w:rsidRPr="006E255B">
        <w:rPr>
          <w:rFonts w:ascii="Calibri Light" w:hAnsi="Calibri Light" w:cs="Calibri Light"/>
        </w:rPr>
        <w:t>vita</w:t>
      </w:r>
      <w:r w:rsidR="00507C52" w:rsidRPr="006E255B">
        <w:rPr>
          <w:rFonts w:ascii="Calibri Light" w:hAnsi="Calibri Light" w:cs="Calibri Light"/>
        </w:rPr>
        <w:t xml:space="preserve">l for the new national surveillance system will be </w:t>
      </w:r>
      <w:r w:rsidRPr="006E255B">
        <w:rPr>
          <w:rFonts w:ascii="Calibri Light" w:hAnsi="Calibri Light" w:cs="Calibri Light"/>
        </w:rPr>
        <w:t>improving the availability of real-time surveillance data</w:t>
      </w:r>
      <w:r w:rsidR="001E4CDC" w:rsidRPr="006E255B">
        <w:rPr>
          <w:rFonts w:ascii="Calibri Light" w:hAnsi="Calibri Light" w:cs="Calibri Light"/>
        </w:rPr>
        <w:t xml:space="preserve">, addressing data gaps and differences in data </w:t>
      </w:r>
      <w:r w:rsidR="007256D3" w:rsidRPr="006E255B">
        <w:rPr>
          <w:rFonts w:ascii="Calibri Light" w:hAnsi="Calibri Light" w:cs="Calibri Light"/>
        </w:rPr>
        <w:t>sets</w:t>
      </w:r>
      <w:r w:rsidR="001E4CDC" w:rsidRPr="006E255B">
        <w:rPr>
          <w:rFonts w:ascii="Calibri Light" w:hAnsi="Calibri Light" w:cs="Calibri Light"/>
        </w:rPr>
        <w:t>,</w:t>
      </w:r>
      <w:r w:rsidRPr="006E255B">
        <w:rPr>
          <w:rFonts w:ascii="Calibri Light" w:hAnsi="Calibri Light" w:cs="Calibri Light"/>
        </w:rPr>
        <w:t xml:space="preserve"> making laboratory testing practices for antimicrobial susceptibility testing more consistent</w:t>
      </w:r>
      <w:r w:rsidR="00507C52" w:rsidRPr="006E255B">
        <w:rPr>
          <w:rFonts w:ascii="Calibri Light" w:hAnsi="Calibri Light" w:cs="Calibri Light"/>
        </w:rPr>
        <w:t xml:space="preserve"> across the country</w:t>
      </w:r>
      <w:r w:rsidR="00773070">
        <w:rPr>
          <w:rFonts w:ascii="Calibri Light" w:hAnsi="Calibri Light" w:cs="Calibri Light"/>
        </w:rPr>
        <w:t xml:space="preserve">, and having the ability to provide feedback </w:t>
      </w:r>
      <w:r w:rsidR="00E65954" w:rsidRPr="00E65954">
        <w:rPr>
          <w:rFonts w:ascii="Calibri Light" w:hAnsi="Calibri Light" w:cs="Calibri Light"/>
        </w:rPr>
        <w:t>to participants such as prescribers and industry.</w:t>
      </w:r>
      <w:r w:rsidR="00E65954" w:rsidRPr="00E65954" w:rsidDel="00E65954">
        <w:rPr>
          <w:rFonts w:ascii="Calibri Light" w:hAnsi="Calibri Light" w:cs="Calibri Light"/>
        </w:rPr>
        <w:t xml:space="preserve"> </w:t>
      </w:r>
    </w:p>
    <w:p w14:paraId="37B82961" w14:textId="77777777" w:rsidR="00CB5DE3" w:rsidRDefault="005E6BD6" w:rsidP="00DC45B2">
      <w:pPr>
        <w:spacing w:after="120" w:line="240" w:lineRule="auto"/>
        <w:rPr>
          <w:rFonts w:ascii="Calibri Light" w:hAnsi="Calibri Light" w:cs="Calibri Light"/>
        </w:rPr>
      </w:pPr>
      <w:r w:rsidRPr="006E255B">
        <w:rPr>
          <w:rFonts w:ascii="Calibri Light" w:hAnsi="Calibri Light" w:cs="Calibri Light"/>
        </w:rPr>
        <w:t>I</w:t>
      </w:r>
      <w:r w:rsidR="006E255B" w:rsidRPr="006E255B">
        <w:rPr>
          <w:rFonts w:ascii="Calibri Light" w:hAnsi="Calibri Light" w:cs="Calibri Light"/>
        </w:rPr>
        <w:t>nnovative</w:t>
      </w:r>
      <w:r w:rsidR="00105490" w:rsidRPr="006E255B">
        <w:rPr>
          <w:rFonts w:ascii="Calibri Light" w:hAnsi="Calibri Light" w:cs="Calibri Light"/>
        </w:rPr>
        <w:t xml:space="preserve"> approaches</w:t>
      </w:r>
      <w:r w:rsidR="006E255B" w:rsidRPr="006E255B">
        <w:rPr>
          <w:rFonts w:ascii="Calibri Light" w:hAnsi="Calibri Light" w:cs="Calibri Light"/>
        </w:rPr>
        <w:t xml:space="preserve">, </w:t>
      </w:r>
      <w:r w:rsidR="00105490" w:rsidRPr="006E255B">
        <w:rPr>
          <w:rFonts w:ascii="Calibri Light" w:hAnsi="Calibri Light" w:cs="Calibri Light"/>
        </w:rPr>
        <w:t xml:space="preserve">such as </w:t>
      </w:r>
      <w:r w:rsidR="00C65F27">
        <w:rPr>
          <w:rFonts w:ascii="Calibri Light" w:hAnsi="Calibri Light" w:cs="Calibri Light"/>
        </w:rPr>
        <w:t xml:space="preserve">microbial genomics </w:t>
      </w:r>
      <w:r w:rsidR="00D42B60">
        <w:rPr>
          <w:rFonts w:ascii="Calibri Light" w:hAnsi="Calibri Light" w:cs="Calibri Light"/>
        </w:rPr>
        <w:t>(</w:t>
      </w:r>
      <w:r w:rsidR="00084864">
        <w:rPr>
          <w:rFonts w:ascii="Calibri Light" w:hAnsi="Calibri Light" w:cs="Calibri Light"/>
        </w:rPr>
        <w:t xml:space="preserve">which uses </w:t>
      </w:r>
      <w:r w:rsidR="00C65F27">
        <w:rPr>
          <w:rFonts w:ascii="Calibri Light" w:hAnsi="Calibri Light" w:cs="Calibri Light"/>
        </w:rPr>
        <w:t>genome sequencing</w:t>
      </w:r>
      <w:r w:rsidR="00084864">
        <w:rPr>
          <w:rFonts w:ascii="Calibri Light" w:hAnsi="Calibri Light" w:cs="Calibri Light"/>
        </w:rPr>
        <w:t xml:space="preserve"> </w:t>
      </w:r>
      <w:r w:rsidR="00084864" w:rsidRPr="00084864">
        <w:rPr>
          <w:rFonts w:ascii="Calibri Light" w:hAnsi="Calibri Light" w:cs="Calibri Light"/>
        </w:rPr>
        <w:t>to understand microb</w:t>
      </w:r>
      <w:r w:rsidR="00C65F27">
        <w:rPr>
          <w:rFonts w:ascii="Calibri Light" w:hAnsi="Calibri Light" w:cs="Calibri Light"/>
        </w:rPr>
        <w:t>ial populations, relatedness, mechanisms of resistances and transmission</w:t>
      </w:r>
      <w:r w:rsidR="00D42B60">
        <w:rPr>
          <w:rFonts w:ascii="Calibri Light" w:hAnsi="Calibri Light" w:cs="Calibri Light"/>
        </w:rPr>
        <w:t>)</w:t>
      </w:r>
      <w:r w:rsidR="00084864">
        <w:rPr>
          <w:rFonts w:ascii="Calibri Light" w:hAnsi="Calibri Light" w:cs="Calibri Light"/>
        </w:rPr>
        <w:t xml:space="preserve"> </w:t>
      </w:r>
      <w:r w:rsidRPr="006E255B">
        <w:rPr>
          <w:rFonts w:ascii="Calibri Light" w:hAnsi="Calibri Light" w:cs="Calibri Light"/>
        </w:rPr>
        <w:t>have the</w:t>
      </w:r>
      <w:r w:rsidR="00105490" w:rsidRPr="006E255B">
        <w:rPr>
          <w:rFonts w:ascii="Calibri Light" w:hAnsi="Calibri Light" w:cs="Calibri Light"/>
        </w:rPr>
        <w:t xml:space="preserve"> potential to </w:t>
      </w:r>
      <w:r w:rsidR="00C03242" w:rsidRPr="006E255B">
        <w:rPr>
          <w:rFonts w:ascii="Calibri Light" w:hAnsi="Calibri Light" w:cs="Calibri Light"/>
        </w:rPr>
        <w:t xml:space="preserve">improve our capacity to </w:t>
      </w:r>
      <w:r w:rsidR="00C65F27">
        <w:rPr>
          <w:rFonts w:ascii="Calibri Light" w:hAnsi="Calibri Light" w:cs="Calibri Light"/>
        </w:rPr>
        <w:t xml:space="preserve">detect and </w:t>
      </w:r>
      <w:r w:rsidR="00C03242" w:rsidRPr="006E255B">
        <w:rPr>
          <w:rFonts w:ascii="Calibri Light" w:hAnsi="Calibri Light" w:cs="Calibri Light"/>
        </w:rPr>
        <w:t xml:space="preserve">respond to outbreaks and emerging threats </w:t>
      </w:r>
      <w:r w:rsidR="00CA0F76">
        <w:rPr>
          <w:rFonts w:ascii="Calibri Light" w:hAnsi="Calibri Light" w:cs="Calibri Light"/>
        </w:rPr>
        <w:t>from</w:t>
      </w:r>
      <w:r w:rsidR="00C03242" w:rsidRPr="006E255B">
        <w:rPr>
          <w:rFonts w:ascii="Calibri Light" w:hAnsi="Calibri Light" w:cs="Calibri Light"/>
        </w:rPr>
        <w:t xml:space="preserve"> </w:t>
      </w:r>
      <w:r w:rsidR="00D42B60">
        <w:rPr>
          <w:rFonts w:ascii="Calibri Light" w:hAnsi="Calibri Light" w:cs="Calibri Light"/>
        </w:rPr>
        <w:t>the most dangerous</w:t>
      </w:r>
      <w:r w:rsidR="00C03242" w:rsidRPr="006E255B">
        <w:rPr>
          <w:rFonts w:ascii="Calibri Light" w:hAnsi="Calibri Light" w:cs="Calibri Light"/>
        </w:rPr>
        <w:t xml:space="preserve"> multi-drug resistant organisms.</w:t>
      </w:r>
      <w:bookmarkStart w:id="46" w:name="_Toc8939440"/>
    </w:p>
    <w:p w14:paraId="2F184455" w14:textId="77777777" w:rsidR="00E359E1" w:rsidRPr="006E255B" w:rsidRDefault="00E359E1" w:rsidP="00DC45B2">
      <w:pPr>
        <w:spacing w:after="120" w:line="240" w:lineRule="auto"/>
        <w:rPr>
          <w:b/>
          <w:smallCaps/>
          <w:sz w:val="28"/>
          <w:szCs w:val="28"/>
        </w:rPr>
      </w:pPr>
    </w:p>
    <w:p w14:paraId="51023F67" w14:textId="77777777" w:rsidR="008E780F" w:rsidRDefault="00A87E41" w:rsidP="00B658B6">
      <w:pPr>
        <w:pStyle w:val="Heading2"/>
        <w:numPr>
          <w:ilvl w:val="0"/>
          <w:numId w:val="14"/>
        </w:numPr>
        <w:spacing w:before="0" w:after="120" w:line="240" w:lineRule="auto"/>
        <w:rPr>
          <w:b/>
        </w:rPr>
      </w:pPr>
      <w:bookmarkStart w:id="47" w:name="_Toc8939441"/>
      <w:bookmarkStart w:id="48" w:name="_Toc18311692"/>
      <w:bookmarkEnd w:id="46"/>
      <w:r w:rsidRPr="00A87E41">
        <w:rPr>
          <w:b/>
        </w:rPr>
        <w:lastRenderedPageBreak/>
        <w:t xml:space="preserve">A Strong Collaborative Research Agenda Across </w:t>
      </w:r>
      <w:r w:rsidR="000445F9">
        <w:rPr>
          <w:b/>
        </w:rPr>
        <w:t xml:space="preserve">All </w:t>
      </w:r>
      <w:r w:rsidRPr="00A87E41">
        <w:rPr>
          <w:b/>
        </w:rPr>
        <w:t>Sectors</w:t>
      </w:r>
      <w:bookmarkEnd w:id="47"/>
      <w:bookmarkEnd w:id="48"/>
    </w:p>
    <w:p w14:paraId="5E473A0B" w14:textId="77777777" w:rsidR="00145B20" w:rsidRDefault="008F1ADF" w:rsidP="000142C1">
      <w:pPr>
        <w:spacing w:after="0" w:line="240" w:lineRule="auto"/>
        <w:rPr>
          <w:rFonts w:ascii="Calibri Light" w:hAnsi="Calibri Light" w:cs="Calibri Light"/>
        </w:rPr>
      </w:pPr>
      <w:r w:rsidRPr="006E255B">
        <w:rPr>
          <w:noProof/>
          <w:lang w:eastAsia="en-AU"/>
        </w:rPr>
        <mc:AlternateContent>
          <mc:Choice Requires="wps">
            <w:drawing>
              <wp:inline distT="0" distB="0" distL="0" distR="0" wp14:anchorId="43FA50EB" wp14:editId="74FF2734">
                <wp:extent cx="5731510" cy="2104598"/>
                <wp:effectExtent l="0" t="0" r="15240" b="10160"/>
                <wp:docPr id="8" name="Text Box 8"/>
                <wp:cNvGraphicFramePr/>
                <a:graphic xmlns:a="http://schemas.openxmlformats.org/drawingml/2006/main">
                  <a:graphicData uri="http://schemas.microsoft.com/office/word/2010/wordprocessingShape">
                    <wps:wsp>
                      <wps:cNvSpPr txBox="1"/>
                      <wps:spPr>
                        <a:xfrm>
                          <a:off x="0" y="0"/>
                          <a:ext cx="5731510" cy="2104598"/>
                        </a:xfrm>
                        <a:prstGeom prst="rect">
                          <a:avLst/>
                        </a:prstGeom>
                        <a:noFill/>
                        <a:ln w="6350">
                          <a:solidFill>
                            <a:prstClr val="black"/>
                          </a:solidFill>
                        </a:ln>
                      </wps:spPr>
                      <wps:txbx>
                        <w:txbxContent>
                          <w:p w14:paraId="263A294F" w14:textId="77777777" w:rsidR="00F96E29" w:rsidRPr="00400E22" w:rsidRDefault="00F96E29" w:rsidP="008F1ADF">
                            <w:pPr>
                              <w:rPr>
                                <w:b/>
                              </w:rPr>
                            </w:pPr>
                            <w:r w:rsidRPr="00400E22">
                              <w:rPr>
                                <w:b/>
                              </w:rPr>
                              <w:t xml:space="preserve">Priority Areas for Action </w:t>
                            </w:r>
                          </w:p>
                          <w:p w14:paraId="204F91B8" w14:textId="77777777" w:rsidR="00F96E29" w:rsidRPr="00515634" w:rsidRDefault="00F96E29" w:rsidP="008F1ADF">
                            <w:pPr>
                              <w:rPr>
                                <w:rFonts w:eastAsia="Times New Roman" w:cs="Times New Roman"/>
                                <w:color w:val="1F4D78"/>
                              </w:rPr>
                            </w:pPr>
                            <w:r>
                              <w:rPr>
                                <w:rFonts w:eastAsia="Times New Roman" w:cs="Palatino Linotype"/>
                                <w:bCs/>
                                <w:color w:val="939597"/>
                              </w:rPr>
                              <w:t>6</w:t>
                            </w:r>
                            <w:r w:rsidRPr="00515634">
                              <w:rPr>
                                <w:rFonts w:eastAsia="Times New Roman" w:cs="Palatino Linotype"/>
                                <w:bCs/>
                                <w:color w:val="939597"/>
                              </w:rPr>
                              <w:t>.1</w:t>
                            </w:r>
                            <w:r>
                              <w:rPr>
                                <w:rFonts w:eastAsia="Times New Roman" w:cs="Palatino Linotype"/>
                                <w:bCs/>
                                <w:color w:val="939597"/>
                              </w:rPr>
                              <w:t xml:space="preserve"> </w:t>
                            </w:r>
                            <w:r>
                              <w:t>Set</w:t>
                            </w:r>
                            <w:r w:rsidRPr="00400E22">
                              <w:t xml:space="preserve"> a flexible national </w:t>
                            </w:r>
                            <w:r w:rsidRPr="0074275B">
                              <w:rPr>
                                <w:rFonts w:eastAsia="Times New Roman" w:cs="Times New Roman"/>
                              </w:rPr>
                              <w:t>antimicrobial resistance</w:t>
                            </w:r>
                            <w:r>
                              <w:t xml:space="preserve"> </w:t>
                            </w:r>
                            <w:r w:rsidRPr="00400E22">
                              <w:t>research and development agenda</w:t>
                            </w:r>
                            <w:r>
                              <w:t xml:space="preserve"> that strives for innovation </w:t>
                            </w:r>
                          </w:p>
                          <w:p w14:paraId="27960767" w14:textId="77777777" w:rsidR="00F96E29" w:rsidRDefault="00F96E29" w:rsidP="008F1ADF">
                            <w:pPr>
                              <w:rPr>
                                <w:rFonts w:eastAsia="Times New Roman" w:cs="Palatino Linotype"/>
                                <w:bCs/>
                                <w:color w:val="939597"/>
                              </w:rPr>
                            </w:pPr>
                            <w:r>
                              <w:rPr>
                                <w:rFonts w:eastAsia="Times New Roman" w:cs="Palatino Linotype"/>
                                <w:bCs/>
                                <w:color w:val="939597"/>
                              </w:rPr>
                              <w:t>6</w:t>
                            </w:r>
                            <w:r w:rsidRPr="00515634">
                              <w:rPr>
                                <w:rFonts w:eastAsia="Times New Roman" w:cs="Palatino Linotype"/>
                                <w:bCs/>
                                <w:color w:val="939597"/>
                              </w:rPr>
                              <w:t>.2</w:t>
                            </w:r>
                            <w:r>
                              <w:rPr>
                                <w:rFonts w:eastAsia="Times New Roman" w:cs="Palatino Linotype"/>
                                <w:bCs/>
                                <w:color w:val="939597"/>
                              </w:rPr>
                              <w:t xml:space="preserve"> </w:t>
                            </w:r>
                            <w:r w:rsidRPr="00890C62">
                              <w:rPr>
                                <w:rFonts w:eastAsia="Times New Roman" w:cs="Times New Roman"/>
                              </w:rPr>
                              <w:t>Coordinate and share</w:t>
                            </w:r>
                            <w:r>
                              <w:rPr>
                                <w:rFonts w:eastAsia="Times New Roman" w:cs="Palatino Linotype"/>
                                <w:bCs/>
                                <w:color w:val="939597"/>
                              </w:rPr>
                              <w:t xml:space="preserve"> </w:t>
                            </w:r>
                            <w:r w:rsidRPr="0074275B">
                              <w:rPr>
                                <w:rFonts w:eastAsia="Times New Roman" w:cs="Times New Roman"/>
                              </w:rPr>
                              <w:t xml:space="preserve">research and development activities </w:t>
                            </w:r>
                          </w:p>
                          <w:p w14:paraId="41A6BFCD" w14:textId="77777777" w:rsidR="00F96E29" w:rsidRPr="00515634" w:rsidRDefault="00F96E29" w:rsidP="008F1ADF">
                            <w:pPr>
                              <w:rPr>
                                <w:rFonts w:eastAsia="Times New Roman" w:cs="Times New Roman"/>
                                <w:color w:val="1F4D78"/>
                              </w:rPr>
                            </w:pPr>
                            <w:r>
                              <w:rPr>
                                <w:rFonts w:eastAsia="Times New Roman" w:cs="Palatino Linotype"/>
                                <w:bCs/>
                                <w:color w:val="939597"/>
                              </w:rPr>
                              <w:t>6</w:t>
                            </w:r>
                            <w:r w:rsidRPr="00515634">
                              <w:rPr>
                                <w:rFonts w:eastAsia="Times New Roman" w:cs="Palatino Linotype"/>
                                <w:bCs/>
                                <w:color w:val="939597"/>
                              </w:rPr>
                              <w:t>.3</w:t>
                            </w:r>
                            <w:r>
                              <w:rPr>
                                <w:rFonts w:eastAsia="Times New Roman" w:cs="Palatino Linotype"/>
                                <w:bCs/>
                                <w:color w:val="939597"/>
                              </w:rPr>
                              <w:t xml:space="preserve"> </w:t>
                            </w:r>
                            <w:r w:rsidRPr="0074275B">
                              <w:rPr>
                                <w:rFonts w:eastAsia="Times New Roman" w:cs="Times New Roman"/>
                              </w:rPr>
                              <w:t>Seek and maintain dedicated funding for the national research and development agenda, including private and public investment partnerships</w:t>
                            </w:r>
                          </w:p>
                          <w:p w14:paraId="3518FCF5" w14:textId="77777777" w:rsidR="00F96E29" w:rsidRPr="0074275B" w:rsidRDefault="00F96E29" w:rsidP="008F1ADF">
                            <w:pPr>
                              <w:rPr>
                                <w:rFonts w:eastAsia="Times New Roman" w:cs="Palatino Linotype"/>
                                <w:bCs/>
                              </w:rPr>
                            </w:pPr>
                            <w:r>
                              <w:rPr>
                                <w:rFonts w:eastAsia="Times New Roman" w:cs="Palatino Linotype"/>
                                <w:bCs/>
                                <w:color w:val="939597"/>
                              </w:rPr>
                              <w:t>6</w:t>
                            </w:r>
                            <w:r w:rsidRPr="00515634">
                              <w:rPr>
                                <w:rFonts w:eastAsia="Times New Roman" w:cs="Palatino Linotype"/>
                                <w:bCs/>
                                <w:color w:val="939597"/>
                              </w:rPr>
                              <w:t>.4</w:t>
                            </w:r>
                            <w:r>
                              <w:rPr>
                                <w:rFonts w:eastAsia="Times New Roman" w:cs="Palatino Linotype"/>
                                <w:bCs/>
                                <w:color w:val="939597"/>
                              </w:rPr>
                              <w:t xml:space="preserve"> </w:t>
                            </w:r>
                            <w:r w:rsidRPr="0074275B">
                              <w:rPr>
                                <w:rFonts w:eastAsia="Times New Roman" w:cs="Times New Roman"/>
                              </w:rPr>
                              <w:t>Support the translation of research findings into new approaches</w:t>
                            </w:r>
                            <w:r>
                              <w:rPr>
                                <w:rFonts w:eastAsia="Times New Roman" w:cs="Times New Roman"/>
                              </w:rPr>
                              <w:t xml:space="preserve">, applications and policies to combat </w:t>
                            </w:r>
                            <w:r w:rsidRPr="0074275B">
                              <w:rPr>
                                <w:rFonts w:eastAsia="Times New Roman" w:cs="Times New Roman"/>
                              </w:rPr>
                              <w:t>antimicrobial resistance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3FA50EB" id="Text Box 8" o:spid="_x0000_s1033" type="#_x0000_t202" style="width:451.3pt;height:165.7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" filled="f" strokeweight=".5pt">
                <v:textbox>
                  <w:txbxContent>
                    <w:p w14:paraId="263A294F" w14:textId="77777777" w:rsidR="00F96E29" w:rsidRPr="00400E22" w:rsidRDefault="00F96E29" w:rsidP="008F1ADF">
                      <w:pPr>
                        <w:rPr>
                          <w:b/>
                        </w:rPr>
                      </w:pPr>
                      <w:r w:rsidRPr="00400E22">
                        <w:rPr>
                          <w:b/>
                        </w:rPr>
                        <w:t xml:space="preserve">Priority Areas for Action </w:t>
                      </w:r>
                    </w:p>
                    <w:p w14:paraId="204F91B8" w14:textId="77777777" w:rsidR="00F96E29" w:rsidRPr="00515634" w:rsidRDefault="00F96E29" w:rsidP="008F1ADF">
                      <w:pPr>
                        <w:rPr>
                          <w:rFonts w:eastAsia="Times New Roman" w:cs="Times New Roman"/>
                          <w:color w:val="1F4D78"/>
                        </w:rPr>
                      </w:pPr>
                      <w:r>
                        <w:rPr>
                          <w:rFonts w:eastAsia="Times New Roman" w:cs="Palatino Linotype"/>
                          <w:bCs/>
                          <w:color w:val="939597"/>
                        </w:rPr>
                        <w:t>6</w:t>
                      </w:r>
                      <w:r w:rsidRPr="00515634">
                        <w:rPr>
                          <w:rFonts w:eastAsia="Times New Roman" w:cs="Palatino Linotype"/>
                          <w:bCs/>
                          <w:color w:val="939597"/>
                        </w:rPr>
                        <w:t>.1</w:t>
                      </w:r>
                      <w:r>
                        <w:rPr>
                          <w:rFonts w:eastAsia="Times New Roman" w:cs="Palatino Linotype"/>
                          <w:bCs/>
                          <w:color w:val="939597"/>
                        </w:rPr>
                        <w:t xml:space="preserve"> </w:t>
                      </w:r>
                      <w:r>
                        <w:t>Set</w:t>
                      </w:r>
                      <w:r w:rsidRPr="00400E22">
                        <w:t xml:space="preserve"> a flexible national </w:t>
                      </w:r>
                      <w:r w:rsidRPr="0074275B">
                        <w:rPr>
                          <w:rFonts w:eastAsia="Times New Roman" w:cs="Times New Roman"/>
                        </w:rPr>
                        <w:t>antimicrobial resistance</w:t>
                      </w:r>
                      <w:r>
                        <w:t xml:space="preserve"> </w:t>
                      </w:r>
                      <w:r w:rsidRPr="00400E22">
                        <w:t>research and development agenda</w:t>
                      </w:r>
                      <w:r>
                        <w:t xml:space="preserve"> that strives for innovation </w:t>
                      </w:r>
                    </w:p>
                    <w:p w14:paraId="27960767" w14:textId="77777777" w:rsidR="00F96E29" w:rsidRDefault="00F96E29" w:rsidP="008F1ADF">
                      <w:pPr>
                        <w:rPr>
                          <w:rFonts w:eastAsia="Times New Roman" w:cs="Palatino Linotype"/>
                          <w:bCs/>
                          <w:color w:val="939597"/>
                        </w:rPr>
                      </w:pPr>
                      <w:r>
                        <w:rPr>
                          <w:rFonts w:eastAsia="Times New Roman" w:cs="Palatino Linotype"/>
                          <w:bCs/>
                          <w:color w:val="939597"/>
                        </w:rPr>
                        <w:t>6</w:t>
                      </w:r>
                      <w:r w:rsidRPr="00515634">
                        <w:rPr>
                          <w:rFonts w:eastAsia="Times New Roman" w:cs="Palatino Linotype"/>
                          <w:bCs/>
                          <w:color w:val="939597"/>
                        </w:rPr>
                        <w:t>.2</w:t>
                      </w:r>
                      <w:r>
                        <w:rPr>
                          <w:rFonts w:eastAsia="Times New Roman" w:cs="Palatino Linotype"/>
                          <w:bCs/>
                          <w:color w:val="939597"/>
                        </w:rPr>
                        <w:t xml:space="preserve"> </w:t>
                      </w:r>
                      <w:r w:rsidRPr="00890C62">
                        <w:rPr>
                          <w:rFonts w:eastAsia="Times New Roman" w:cs="Times New Roman"/>
                        </w:rPr>
                        <w:t>Coordinate and share</w:t>
                      </w:r>
                      <w:r>
                        <w:rPr>
                          <w:rFonts w:eastAsia="Times New Roman" w:cs="Palatino Linotype"/>
                          <w:bCs/>
                          <w:color w:val="939597"/>
                        </w:rPr>
                        <w:t xml:space="preserve"> </w:t>
                      </w:r>
                      <w:r w:rsidRPr="0074275B">
                        <w:rPr>
                          <w:rFonts w:eastAsia="Times New Roman" w:cs="Times New Roman"/>
                        </w:rPr>
                        <w:t xml:space="preserve">research and development activities </w:t>
                      </w:r>
                    </w:p>
                    <w:p w14:paraId="41A6BFCD" w14:textId="77777777" w:rsidR="00F96E29" w:rsidRPr="00515634" w:rsidRDefault="00F96E29" w:rsidP="008F1ADF">
                      <w:pPr>
                        <w:rPr>
                          <w:rFonts w:eastAsia="Times New Roman" w:cs="Times New Roman"/>
                          <w:color w:val="1F4D78"/>
                        </w:rPr>
                      </w:pPr>
                      <w:r>
                        <w:rPr>
                          <w:rFonts w:eastAsia="Times New Roman" w:cs="Palatino Linotype"/>
                          <w:bCs/>
                          <w:color w:val="939597"/>
                        </w:rPr>
                        <w:t>6</w:t>
                      </w:r>
                      <w:r w:rsidRPr="00515634">
                        <w:rPr>
                          <w:rFonts w:eastAsia="Times New Roman" w:cs="Palatino Linotype"/>
                          <w:bCs/>
                          <w:color w:val="939597"/>
                        </w:rPr>
                        <w:t>.3</w:t>
                      </w:r>
                      <w:r>
                        <w:rPr>
                          <w:rFonts w:eastAsia="Times New Roman" w:cs="Palatino Linotype"/>
                          <w:bCs/>
                          <w:color w:val="939597"/>
                        </w:rPr>
                        <w:t xml:space="preserve"> </w:t>
                      </w:r>
                      <w:r w:rsidRPr="0074275B">
                        <w:rPr>
                          <w:rFonts w:eastAsia="Times New Roman" w:cs="Times New Roman"/>
                        </w:rPr>
                        <w:t>Seek and maintain dedicated funding for the national research and development agenda, including private and public investment partnerships</w:t>
                      </w:r>
                    </w:p>
                    <w:p w14:paraId="3518FCF5" w14:textId="77777777" w:rsidR="00F96E29" w:rsidRPr="0074275B" w:rsidRDefault="00F96E29" w:rsidP="008F1ADF">
                      <w:pPr>
                        <w:rPr>
                          <w:rFonts w:eastAsia="Times New Roman" w:cs="Palatino Linotype"/>
                          <w:bCs/>
                        </w:rPr>
                      </w:pPr>
                      <w:r>
                        <w:rPr>
                          <w:rFonts w:eastAsia="Times New Roman" w:cs="Palatino Linotype"/>
                          <w:bCs/>
                          <w:color w:val="939597"/>
                        </w:rPr>
                        <w:t>6</w:t>
                      </w:r>
                      <w:r w:rsidRPr="00515634">
                        <w:rPr>
                          <w:rFonts w:eastAsia="Times New Roman" w:cs="Palatino Linotype"/>
                          <w:bCs/>
                          <w:color w:val="939597"/>
                        </w:rPr>
                        <w:t>.4</w:t>
                      </w:r>
                      <w:r>
                        <w:rPr>
                          <w:rFonts w:eastAsia="Times New Roman" w:cs="Palatino Linotype"/>
                          <w:bCs/>
                          <w:color w:val="939597"/>
                        </w:rPr>
                        <w:t xml:space="preserve"> </w:t>
                      </w:r>
                      <w:r w:rsidRPr="0074275B">
                        <w:rPr>
                          <w:rFonts w:eastAsia="Times New Roman" w:cs="Times New Roman"/>
                        </w:rPr>
                        <w:t>Support the translation of research findings into new approaches</w:t>
                      </w:r>
                      <w:r>
                        <w:rPr>
                          <w:rFonts w:eastAsia="Times New Roman" w:cs="Times New Roman"/>
                        </w:rPr>
                        <w:t xml:space="preserve">, applications and policies to combat </w:t>
                      </w:r>
                      <w:r w:rsidRPr="0074275B">
                        <w:rPr>
                          <w:rFonts w:eastAsia="Times New Roman" w:cs="Times New Roman"/>
                        </w:rPr>
                        <w:t>antimicrobial resistance</w:t>
                      </w:r>
                    </w:p>
                  </w:txbxContent>
                </v:textbox>
                <w10:anchorlock/>
              </v:shape>
            </w:pict>
          </mc:Fallback>
        </mc:AlternateContent>
      </w:r>
    </w:p>
    <w:p w14:paraId="6D8A99DA" w14:textId="0F699BF9" w:rsidR="00B16BB3" w:rsidRDefault="00B16BB3" w:rsidP="00B16BB3">
      <w:pPr>
        <w:spacing w:after="120" w:line="240" w:lineRule="auto"/>
        <w:rPr>
          <w:rFonts w:ascii="Calibri Light" w:hAnsi="Calibri Light" w:cs="Calibri Light"/>
        </w:rPr>
      </w:pPr>
      <w:r>
        <w:rPr>
          <w:rFonts w:ascii="Calibri Light" w:hAnsi="Calibri Light" w:cs="Calibri Light"/>
        </w:rPr>
        <w:t>Discovering</w:t>
      </w:r>
      <w:r w:rsidRPr="006E255B">
        <w:rPr>
          <w:rFonts w:ascii="Calibri Light" w:hAnsi="Calibri Light" w:cs="Calibri Light"/>
        </w:rPr>
        <w:t xml:space="preserve"> new classes of antimicrobials is </w:t>
      </w:r>
      <w:r w:rsidR="00F95619">
        <w:rPr>
          <w:rFonts w:ascii="Calibri Light" w:hAnsi="Calibri Light" w:cs="Calibri Light"/>
        </w:rPr>
        <w:t>essential</w:t>
      </w:r>
      <w:r w:rsidRPr="006E255B">
        <w:rPr>
          <w:rFonts w:ascii="Calibri Light" w:hAnsi="Calibri Light" w:cs="Calibri Light"/>
        </w:rPr>
        <w:t xml:space="preserve"> for human health, </w:t>
      </w:r>
      <w:r w:rsidR="00AB12FA">
        <w:rPr>
          <w:rFonts w:ascii="Calibri Light" w:hAnsi="Calibri Light" w:cs="Calibri Light"/>
        </w:rPr>
        <w:t xml:space="preserve">but </w:t>
      </w:r>
      <w:r w:rsidRPr="006E255B">
        <w:rPr>
          <w:rFonts w:ascii="Calibri Light" w:hAnsi="Calibri Light" w:cs="Calibri Light"/>
        </w:rPr>
        <w:t xml:space="preserve">it is only part of an effective </w:t>
      </w:r>
      <w:r w:rsidR="00AB12FA">
        <w:rPr>
          <w:rFonts w:ascii="Calibri Light" w:hAnsi="Calibri Light" w:cs="Calibri Light"/>
        </w:rPr>
        <w:t>r</w:t>
      </w:r>
      <w:r w:rsidR="00AB12FA" w:rsidRPr="006E255B">
        <w:rPr>
          <w:rFonts w:ascii="Calibri Light" w:hAnsi="Calibri Light" w:cs="Calibri Light"/>
        </w:rPr>
        <w:t xml:space="preserve">esearch </w:t>
      </w:r>
      <w:r w:rsidRPr="006E255B">
        <w:rPr>
          <w:rFonts w:ascii="Calibri Light" w:hAnsi="Calibri Light" w:cs="Calibri Light"/>
        </w:rPr>
        <w:t xml:space="preserve">response to antimicrobial resistance. Research </w:t>
      </w:r>
      <w:r w:rsidR="00CC16EE">
        <w:rPr>
          <w:rFonts w:ascii="Calibri Light" w:hAnsi="Calibri Light" w:cs="Calibri Light"/>
        </w:rPr>
        <w:t xml:space="preserve">is also needed to identify the best approaches and techniques likely to achieve </w:t>
      </w:r>
      <w:r w:rsidR="002F724C">
        <w:rPr>
          <w:rFonts w:ascii="Calibri Light" w:hAnsi="Calibri Light" w:cs="Calibri Light"/>
        </w:rPr>
        <w:t>this Strategy</w:t>
      </w:r>
      <w:r w:rsidR="000D6475">
        <w:rPr>
          <w:rFonts w:ascii="Calibri Light" w:hAnsi="Calibri Light" w:cs="Calibri Light"/>
        </w:rPr>
        <w:t>’</w:t>
      </w:r>
      <w:r w:rsidR="002F724C">
        <w:rPr>
          <w:rFonts w:ascii="Calibri Light" w:hAnsi="Calibri Light" w:cs="Calibri Light"/>
        </w:rPr>
        <w:t xml:space="preserve">s goals – most effectively, rapidly and for the least cost – </w:t>
      </w:r>
      <w:r w:rsidR="00CC16EE">
        <w:rPr>
          <w:rFonts w:ascii="Calibri Light" w:hAnsi="Calibri Light" w:cs="Calibri Light"/>
        </w:rPr>
        <w:t xml:space="preserve">across </w:t>
      </w:r>
      <w:r w:rsidR="002F724C">
        <w:rPr>
          <w:rFonts w:ascii="Calibri Light" w:hAnsi="Calibri Light" w:cs="Calibri Light"/>
        </w:rPr>
        <w:t xml:space="preserve">all </w:t>
      </w:r>
      <w:r w:rsidRPr="006E255B">
        <w:rPr>
          <w:rFonts w:ascii="Calibri Light" w:hAnsi="Calibri Light" w:cs="Calibri Light"/>
        </w:rPr>
        <w:t>sectors</w:t>
      </w:r>
      <w:r w:rsidR="00CC16EE">
        <w:rPr>
          <w:rFonts w:ascii="Calibri Light" w:hAnsi="Calibri Light" w:cs="Calibri Light"/>
        </w:rPr>
        <w:t xml:space="preserve">. </w:t>
      </w:r>
      <w:r w:rsidR="002F724C">
        <w:rPr>
          <w:rFonts w:ascii="Calibri Light" w:hAnsi="Calibri Light" w:cs="Calibri Light"/>
        </w:rPr>
        <w:t xml:space="preserve">We need to </w:t>
      </w:r>
      <w:r w:rsidR="003A55AE">
        <w:rPr>
          <w:rFonts w:ascii="Calibri Light" w:hAnsi="Calibri Light" w:cs="Calibri Light"/>
        </w:rPr>
        <w:t>understand</w:t>
      </w:r>
      <w:r w:rsidRPr="006E255B">
        <w:rPr>
          <w:rFonts w:ascii="Calibri Light" w:hAnsi="Calibri Light" w:cs="Calibri Light"/>
        </w:rPr>
        <w:t xml:space="preserve"> resistance patterns </w:t>
      </w:r>
      <w:r w:rsidR="003A55AE">
        <w:rPr>
          <w:rFonts w:ascii="Calibri Light" w:hAnsi="Calibri Light" w:cs="Calibri Light"/>
        </w:rPr>
        <w:t>in</w:t>
      </w:r>
      <w:r w:rsidRPr="006E255B">
        <w:rPr>
          <w:rFonts w:ascii="Calibri Light" w:hAnsi="Calibri Light" w:cs="Calibri Light"/>
        </w:rPr>
        <w:t xml:space="preserve"> antifungals</w:t>
      </w:r>
      <w:r w:rsidR="009646C6">
        <w:rPr>
          <w:rFonts w:ascii="Calibri Light" w:hAnsi="Calibri Light" w:cs="Calibri Light"/>
        </w:rPr>
        <w:t>;</w:t>
      </w:r>
      <w:r w:rsidRPr="006E255B">
        <w:rPr>
          <w:rFonts w:ascii="Calibri Light" w:hAnsi="Calibri Light" w:cs="Calibri Light"/>
        </w:rPr>
        <w:t xml:space="preserve"> </w:t>
      </w:r>
      <w:r w:rsidR="003A55AE">
        <w:rPr>
          <w:rFonts w:ascii="Calibri Light" w:hAnsi="Calibri Light" w:cs="Calibri Light"/>
        </w:rPr>
        <w:t xml:space="preserve">enhance </w:t>
      </w:r>
      <w:r w:rsidRPr="006E255B">
        <w:rPr>
          <w:rFonts w:ascii="Calibri Light" w:hAnsi="Calibri Light" w:cs="Calibri Light"/>
        </w:rPr>
        <w:t>therapeutic alternatives to antimicrobials (e.g. vaccines)</w:t>
      </w:r>
      <w:r w:rsidR="009646C6">
        <w:rPr>
          <w:rFonts w:ascii="Calibri Light" w:hAnsi="Calibri Light" w:cs="Calibri Light"/>
        </w:rPr>
        <w:t>;</w:t>
      </w:r>
      <w:r w:rsidRPr="006E255B">
        <w:rPr>
          <w:rFonts w:ascii="Calibri Light" w:hAnsi="Calibri Light" w:cs="Calibri Light"/>
        </w:rPr>
        <w:t xml:space="preserve"> </w:t>
      </w:r>
      <w:r w:rsidR="002F724C">
        <w:rPr>
          <w:rFonts w:ascii="Calibri Light" w:hAnsi="Calibri Light" w:cs="Calibri Light"/>
        </w:rPr>
        <w:t xml:space="preserve">explore </w:t>
      </w:r>
      <w:r w:rsidRPr="006E255B">
        <w:rPr>
          <w:rFonts w:ascii="Calibri Light" w:hAnsi="Calibri Light" w:cs="Calibri Light"/>
        </w:rPr>
        <w:t>rapid diagnostic technologies</w:t>
      </w:r>
      <w:r w:rsidR="009646C6">
        <w:rPr>
          <w:rFonts w:ascii="Calibri Light" w:hAnsi="Calibri Light" w:cs="Calibri Light"/>
        </w:rPr>
        <w:t>;</w:t>
      </w:r>
      <w:r w:rsidRPr="006E255B">
        <w:rPr>
          <w:rFonts w:ascii="Calibri Light" w:hAnsi="Calibri Light" w:cs="Calibri Light"/>
        </w:rPr>
        <w:t xml:space="preserve"> </w:t>
      </w:r>
      <w:r w:rsidR="00100064">
        <w:rPr>
          <w:rFonts w:ascii="Calibri Light" w:hAnsi="Calibri Light" w:cs="Calibri Light"/>
        </w:rPr>
        <w:t xml:space="preserve">and </w:t>
      </w:r>
      <w:r w:rsidRPr="006E255B">
        <w:rPr>
          <w:rFonts w:ascii="Calibri Light" w:hAnsi="Calibri Light" w:cs="Calibri Light"/>
        </w:rPr>
        <w:t>improve infection control</w:t>
      </w:r>
      <w:r w:rsidR="00100064">
        <w:rPr>
          <w:rFonts w:ascii="Calibri Light" w:hAnsi="Calibri Light" w:cs="Calibri Light"/>
        </w:rPr>
        <w:t xml:space="preserve">, </w:t>
      </w:r>
      <w:r w:rsidRPr="006E255B">
        <w:rPr>
          <w:rFonts w:ascii="Calibri Light" w:hAnsi="Calibri Light" w:cs="Calibri Light"/>
        </w:rPr>
        <w:t>biosecurity, antimicrobial stewardship, food production practices, animal welfare strategies, and environmental initiatives.</w:t>
      </w:r>
    </w:p>
    <w:p w14:paraId="793D2293" w14:textId="74BE9B97" w:rsidR="003A55AE" w:rsidRPr="006E255B" w:rsidRDefault="00100064" w:rsidP="003A55AE">
      <w:pPr>
        <w:spacing w:after="120" w:line="240" w:lineRule="auto"/>
        <w:rPr>
          <w:rFonts w:ascii="Calibri Light" w:hAnsi="Calibri Light" w:cs="Calibri Light"/>
        </w:rPr>
      </w:pPr>
      <w:r>
        <w:rPr>
          <w:rFonts w:ascii="Calibri Light" w:hAnsi="Calibri Light" w:cs="Calibri Light"/>
        </w:rPr>
        <w:t xml:space="preserve">Only </w:t>
      </w:r>
      <w:r w:rsidR="006136DE">
        <w:rPr>
          <w:rFonts w:ascii="Calibri Light" w:hAnsi="Calibri Light" w:cs="Calibri Light"/>
        </w:rPr>
        <w:t xml:space="preserve">further </w:t>
      </w:r>
      <w:r>
        <w:rPr>
          <w:rFonts w:ascii="Calibri Light" w:hAnsi="Calibri Light" w:cs="Calibri Light"/>
        </w:rPr>
        <w:t>r</w:t>
      </w:r>
      <w:r w:rsidR="003A55AE" w:rsidRPr="006E255B">
        <w:rPr>
          <w:rFonts w:ascii="Calibri Light" w:hAnsi="Calibri Light" w:cs="Calibri Light"/>
        </w:rPr>
        <w:t xml:space="preserve">esearch </w:t>
      </w:r>
      <w:r>
        <w:rPr>
          <w:rFonts w:ascii="Calibri Light" w:hAnsi="Calibri Light" w:cs="Calibri Light"/>
        </w:rPr>
        <w:t>can</w:t>
      </w:r>
      <w:r w:rsidR="003A55AE" w:rsidRPr="006E255B">
        <w:rPr>
          <w:rFonts w:ascii="Calibri Light" w:hAnsi="Calibri Light" w:cs="Calibri Light"/>
        </w:rPr>
        <w:t xml:space="preserve"> help us understand how to reduce inappropriate antimicrobial </w:t>
      </w:r>
      <w:r>
        <w:rPr>
          <w:rFonts w:ascii="Calibri Light" w:hAnsi="Calibri Light" w:cs="Calibri Light"/>
        </w:rPr>
        <w:t>use</w:t>
      </w:r>
      <w:r w:rsidR="003A55AE" w:rsidRPr="006E255B">
        <w:rPr>
          <w:rFonts w:ascii="Calibri Light" w:hAnsi="Calibri Light" w:cs="Calibri Light"/>
        </w:rPr>
        <w:t xml:space="preserve"> and investigate alternatives to antimicrobials</w:t>
      </w:r>
      <w:r w:rsidR="00C26998">
        <w:rPr>
          <w:rFonts w:ascii="Calibri Light" w:hAnsi="Calibri Light" w:cs="Calibri Light"/>
        </w:rPr>
        <w:t>,</w:t>
      </w:r>
      <w:r w:rsidR="003A55AE" w:rsidRPr="006E255B">
        <w:rPr>
          <w:rFonts w:ascii="Calibri Light" w:hAnsi="Calibri Light" w:cs="Calibri Light"/>
        </w:rPr>
        <w:t xml:space="preserve"> while also informing the development of new</w:t>
      </w:r>
      <w:r w:rsidR="006136DE">
        <w:rPr>
          <w:rFonts w:ascii="Calibri Light" w:hAnsi="Calibri Light" w:cs="Calibri Light"/>
        </w:rPr>
        <w:t xml:space="preserve"> </w:t>
      </w:r>
      <w:r w:rsidR="00E15333">
        <w:rPr>
          <w:rFonts w:ascii="Calibri Light" w:hAnsi="Calibri Light" w:cs="Calibri Light"/>
        </w:rPr>
        <w:t>or</w:t>
      </w:r>
      <w:r w:rsidR="006136DE">
        <w:rPr>
          <w:rFonts w:ascii="Calibri Light" w:hAnsi="Calibri Light" w:cs="Calibri Light"/>
        </w:rPr>
        <w:t xml:space="preserve"> </w:t>
      </w:r>
      <w:r w:rsidR="003A55AE" w:rsidRPr="006E255B">
        <w:rPr>
          <w:rFonts w:ascii="Calibri Light" w:hAnsi="Calibri Light" w:cs="Calibri Light"/>
        </w:rPr>
        <w:t xml:space="preserve">novel antimicrobials, </w:t>
      </w:r>
      <w:r w:rsidR="00C26998">
        <w:rPr>
          <w:rFonts w:ascii="Calibri Light" w:hAnsi="Calibri Light" w:cs="Calibri Light"/>
        </w:rPr>
        <w:t>improved</w:t>
      </w:r>
      <w:r w:rsidR="008C2BB0">
        <w:rPr>
          <w:rFonts w:ascii="Calibri Light" w:hAnsi="Calibri Light" w:cs="Calibri Light"/>
        </w:rPr>
        <w:t xml:space="preserve"> </w:t>
      </w:r>
      <w:r w:rsidR="003A55AE" w:rsidRPr="006E255B">
        <w:rPr>
          <w:rFonts w:ascii="Calibri Light" w:hAnsi="Calibri Light" w:cs="Calibri Light"/>
        </w:rPr>
        <w:t xml:space="preserve">preventative measures and </w:t>
      </w:r>
      <w:r w:rsidR="007C1F32">
        <w:rPr>
          <w:rFonts w:ascii="Calibri Light" w:hAnsi="Calibri Light" w:cs="Calibri Light"/>
        </w:rPr>
        <w:t xml:space="preserve">rapid </w:t>
      </w:r>
      <w:r w:rsidR="003A55AE" w:rsidRPr="006E255B">
        <w:rPr>
          <w:rFonts w:ascii="Calibri Light" w:hAnsi="Calibri Light" w:cs="Calibri Light"/>
        </w:rPr>
        <w:t xml:space="preserve">diagnostic technologies. This includes improving our understanding of infectious organisms, how resistance </w:t>
      </w:r>
      <w:r w:rsidR="008C2BB0">
        <w:rPr>
          <w:rFonts w:ascii="Calibri Light" w:hAnsi="Calibri Light" w:cs="Calibri Light"/>
        </w:rPr>
        <w:t>arises</w:t>
      </w:r>
      <w:r w:rsidR="003A55AE" w:rsidRPr="006E255B">
        <w:rPr>
          <w:rFonts w:ascii="Calibri Light" w:hAnsi="Calibri Light" w:cs="Calibri Light"/>
        </w:rPr>
        <w:t xml:space="preserve"> and spreads between organisms, people, animals, food and the environment, and what the impacts of </w:t>
      </w:r>
      <w:r w:rsidR="006136DE" w:rsidRPr="006E255B">
        <w:rPr>
          <w:rFonts w:ascii="Calibri Light" w:hAnsi="Calibri Light" w:cs="Calibri Light"/>
        </w:rPr>
        <w:t>antimicrobial</w:t>
      </w:r>
      <w:r w:rsidR="006136DE">
        <w:rPr>
          <w:rFonts w:ascii="Calibri Light" w:hAnsi="Calibri Light" w:cs="Calibri Light"/>
        </w:rPr>
        <w:t xml:space="preserve"> resistance </w:t>
      </w:r>
      <w:r w:rsidR="003A55AE" w:rsidRPr="006E255B">
        <w:rPr>
          <w:rFonts w:ascii="Calibri Light" w:hAnsi="Calibri Light" w:cs="Calibri Light"/>
        </w:rPr>
        <w:t xml:space="preserve">are, including on different communities of microorganisms or microbiomes. </w:t>
      </w:r>
    </w:p>
    <w:p w14:paraId="39644E46" w14:textId="77777777" w:rsidR="008E780F" w:rsidRPr="006E255B" w:rsidRDefault="008C2BB0" w:rsidP="00515634">
      <w:pPr>
        <w:spacing w:after="120" w:line="240" w:lineRule="auto"/>
        <w:rPr>
          <w:rFonts w:ascii="Calibri Light" w:hAnsi="Calibri Light" w:cs="Calibri Light"/>
        </w:rPr>
      </w:pPr>
      <w:r>
        <w:rPr>
          <w:rFonts w:ascii="Calibri Light" w:hAnsi="Calibri Light" w:cs="Calibri Light"/>
        </w:rPr>
        <w:t>In addition, e</w:t>
      </w:r>
      <w:r w:rsidR="00294A03" w:rsidRPr="006E255B">
        <w:rPr>
          <w:rFonts w:ascii="Calibri Light" w:hAnsi="Calibri Light" w:cs="Calibri Light"/>
        </w:rPr>
        <w:t xml:space="preserve">conomic research </w:t>
      </w:r>
      <w:r>
        <w:rPr>
          <w:rFonts w:ascii="Calibri Light" w:hAnsi="Calibri Light" w:cs="Calibri Light"/>
        </w:rPr>
        <w:t xml:space="preserve">will </w:t>
      </w:r>
      <w:r w:rsidR="00294A03" w:rsidRPr="006E255B">
        <w:rPr>
          <w:rFonts w:ascii="Calibri Light" w:hAnsi="Calibri Light" w:cs="Calibri Light"/>
        </w:rPr>
        <w:t>provid</w:t>
      </w:r>
      <w:r>
        <w:rPr>
          <w:rFonts w:ascii="Calibri Light" w:hAnsi="Calibri Light" w:cs="Calibri Light"/>
        </w:rPr>
        <w:t>e</w:t>
      </w:r>
      <w:r w:rsidR="00294A03" w:rsidRPr="006E255B">
        <w:rPr>
          <w:rFonts w:ascii="Calibri Light" w:hAnsi="Calibri Light" w:cs="Calibri Light"/>
        </w:rPr>
        <w:t xml:space="preserve"> information</w:t>
      </w:r>
      <w:r w:rsidR="00425073" w:rsidRPr="006E255B">
        <w:rPr>
          <w:rFonts w:ascii="Calibri Light" w:hAnsi="Calibri Light" w:cs="Calibri Light"/>
        </w:rPr>
        <w:t xml:space="preserve"> and data</w:t>
      </w:r>
      <w:r w:rsidR="00294A03" w:rsidRPr="006E255B">
        <w:rPr>
          <w:rFonts w:ascii="Calibri Light" w:hAnsi="Calibri Light" w:cs="Calibri Light"/>
        </w:rPr>
        <w:t xml:space="preserve"> on the current and future potential costs of </w:t>
      </w:r>
      <w:r w:rsidRPr="006E255B">
        <w:rPr>
          <w:rFonts w:ascii="Calibri Light" w:hAnsi="Calibri Light" w:cs="Calibri Light"/>
        </w:rPr>
        <w:t>resistance</w:t>
      </w:r>
      <w:r w:rsidR="00976624">
        <w:rPr>
          <w:rFonts w:ascii="Calibri Light" w:hAnsi="Calibri Light" w:cs="Calibri Light"/>
        </w:rPr>
        <w:t xml:space="preserve"> as well as </w:t>
      </w:r>
      <w:r w:rsidR="00D909F7" w:rsidRPr="006E255B">
        <w:rPr>
          <w:rFonts w:ascii="Calibri Light" w:hAnsi="Calibri Light" w:cs="Calibri Light"/>
        </w:rPr>
        <w:t>opportunity costs</w:t>
      </w:r>
      <w:r w:rsidR="00976624">
        <w:rPr>
          <w:rFonts w:ascii="Calibri Light" w:hAnsi="Calibri Light" w:cs="Calibri Light"/>
        </w:rPr>
        <w:t xml:space="preserve"> – </w:t>
      </w:r>
      <w:r>
        <w:rPr>
          <w:rFonts w:ascii="Calibri Light" w:hAnsi="Calibri Light" w:cs="Calibri Light"/>
        </w:rPr>
        <w:t xml:space="preserve">all of which will </w:t>
      </w:r>
      <w:r w:rsidR="00425073" w:rsidRPr="006E255B">
        <w:rPr>
          <w:rFonts w:ascii="Calibri Light" w:hAnsi="Calibri Light" w:cs="Calibri Light"/>
        </w:rPr>
        <w:t xml:space="preserve">inform policy development, budgeting and prioritising </w:t>
      </w:r>
      <w:r>
        <w:rPr>
          <w:rFonts w:ascii="Calibri Light" w:hAnsi="Calibri Light" w:cs="Calibri Light"/>
        </w:rPr>
        <w:t>the national</w:t>
      </w:r>
      <w:r w:rsidR="00425073" w:rsidRPr="006E255B">
        <w:rPr>
          <w:rFonts w:ascii="Calibri Light" w:hAnsi="Calibri Light" w:cs="Calibri Light"/>
        </w:rPr>
        <w:t xml:space="preserve"> response to </w:t>
      </w:r>
      <w:r w:rsidRPr="006E255B">
        <w:rPr>
          <w:rFonts w:ascii="Calibri Light" w:hAnsi="Calibri Light" w:cs="Calibri Light"/>
        </w:rPr>
        <w:t>antimicrobial resistance</w:t>
      </w:r>
      <w:r w:rsidR="00425073" w:rsidRPr="006E255B">
        <w:rPr>
          <w:rFonts w:ascii="Calibri Light" w:hAnsi="Calibri Light" w:cs="Calibri Light"/>
        </w:rPr>
        <w:t>.</w:t>
      </w:r>
    </w:p>
    <w:p w14:paraId="581BAA6C" w14:textId="77777777" w:rsidR="008E780F" w:rsidRPr="006E255B" w:rsidRDefault="00EE54F4" w:rsidP="00515634">
      <w:pPr>
        <w:spacing w:after="120" w:line="240" w:lineRule="auto"/>
        <w:rPr>
          <w:rFonts w:ascii="Calibri Light" w:hAnsi="Calibri Light" w:cs="Calibri Light"/>
        </w:rPr>
      </w:pPr>
      <w:r>
        <w:rPr>
          <w:rFonts w:ascii="Calibri Light" w:hAnsi="Calibri Light" w:cs="Calibri Light"/>
        </w:rPr>
        <w:t>P</w:t>
      </w:r>
      <w:r w:rsidR="008E780F" w:rsidRPr="006E255B">
        <w:rPr>
          <w:rFonts w:ascii="Calibri Light" w:hAnsi="Calibri Light" w:cs="Calibri Light"/>
        </w:rPr>
        <w:t>rogress has been made in information sharing and collaboration between Australia</w:t>
      </w:r>
      <w:r w:rsidR="000D6475">
        <w:rPr>
          <w:rFonts w:ascii="Calibri Light" w:hAnsi="Calibri Light" w:cs="Calibri Light"/>
        </w:rPr>
        <w:t>’</w:t>
      </w:r>
      <w:r w:rsidR="008E780F" w:rsidRPr="006E255B">
        <w:rPr>
          <w:rFonts w:ascii="Calibri Light" w:hAnsi="Calibri Light" w:cs="Calibri Light"/>
        </w:rPr>
        <w:t>s research institutes</w:t>
      </w:r>
      <w:r w:rsidR="008E4E12" w:rsidRPr="006E255B">
        <w:rPr>
          <w:rFonts w:ascii="Calibri Light" w:hAnsi="Calibri Light" w:cs="Calibri Light"/>
        </w:rPr>
        <w:t>.</w:t>
      </w:r>
      <w:r w:rsidR="008E780F" w:rsidRPr="006E255B">
        <w:rPr>
          <w:rFonts w:ascii="Calibri Light" w:hAnsi="Calibri Light" w:cs="Calibri Light"/>
        </w:rPr>
        <w:t xml:space="preserve"> </w:t>
      </w:r>
      <w:r w:rsidR="008E4E12" w:rsidRPr="006E255B">
        <w:rPr>
          <w:rFonts w:ascii="Calibri Light" w:hAnsi="Calibri Light" w:cs="Calibri Light"/>
        </w:rPr>
        <w:t xml:space="preserve">However, </w:t>
      </w:r>
      <w:r w:rsidR="008E780F" w:rsidRPr="006E255B">
        <w:rPr>
          <w:rFonts w:ascii="Calibri Light" w:hAnsi="Calibri Light" w:cs="Calibri Light"/>
        </w:rPr>
        <w:t xml:space="preserve">limited coordination and prioritisation of </w:t>
      </w:r>
      <w:r w:rsidR="00A141ED">
        <w:rPr>
          <w:rFonts w:ascii="Calibri Light" w:hAnsi="Calibri Light" w:cs="Calibri Light"/>
        </w:rPr>
        <w:t xml:space="preserve">the overall </w:t>
      </w:r>
      <w:r w:rsidR="008E780F" w:rsidRPr="006E255B">
        <w:rPr>
          <w:rFonts w:ascii="Calibri Light" w:hAnsi="Calibri Light" w:cs="Calibri Light"/>
        </w:rPr>
        <w:t xml:space="preserve">research effort </w:t>
      </w:r>
      <w:r w:rsidR="00BB19AC">
        <w:rPr>
          <w:rFonts w:ascii="Calibri Light" w:hAnsi="Calibri Light" w:cs="Calibri Light"/>
        </w:rPr>
        <w:t>has led to</w:t>
      </w:r>
      <w:r w:rsidR="00A141ED">
        <w:rPr>
          <w:rFonts w:ascii="Calibri Light" w:hAnsi="Calibri Light" w:cs="Calibri Light"/>
        </w:rPr>
        <w:t xml:space="preserve"> </w:t>
      </w:r>
      <w:r w:rsidR="008E780F" w:rsidRPr="006E255B">
        <w:rPr>
          <w:rFonts w:ascii="Calibri Light" w:hAnsi="Calibri Light" w:cs="Calibri Light"/>
        </w:rPr>
        <w:t xml:space="preserve">gaps in our understanding. The </w:t>
      </w:r>
      <w:r w:rsidR="0089571B">
        <w:rPr>
          <w:rFonts w:ascii="Calibri Light" w:hAnsi="Calibri Light" w:cs="Calibri Light"/>
        </w:rPr>
        <w:t>establishment</w:t>
      </w:r>
      <w:r w:rsidR="008E780F" w:rsidRPr="006E255B">
        <w:rPr>
          <w:rFonts w:ascii="Calibri Light" w:hAnsi="Calibri Light" w:cs="Calibri Light"/>
        </w:rPr>
        <w:t xml:space="preserve"> of a national research agenda </w:t>
      </w:r>
      <w:r w:rsidR="008A7C54">
        <w:rPr>
          <w:rFonts w:ascii="Calibri Light" w:hAnsi="Calibri Light" w:cs="Calibri Light"/>
        </w:rPr>
        <w:t xml:space="preserve">for </w:t>
      </w:r>
      <w:r w:rsidR="008A7C54" w:rsidRPr="006E255B">
        <w:rPr>
          <w:rFonts w:ascii="Calibri Light" w:hAnsi="Calibri Light" w:cs="Calibri Light"/>
        </w:rPr>
        <w:t xml:space="preserve">antimicrobial resistance </w:t>
      </w:r>
      <w:r w:rsidR="008A7C54">
        <w:rPr>
          <w:rFonts w:ascii="Calibri Light" w:hAnsi="Calibri Light" w:cs="Calibri Light"/>
        </w:rPr>
        <w:t xml:space="preserve">would </w:t>
      </w:r>
      <w:r w:rsidR="008E780F" w:rsidRPr="006E255B">
        <w:rPr>
          <w:rFonts w:ascii="Calibri Light" w:hAnsi="Calibri Light" w:cs="Calibri Light"/>
        </w:rPr>
        <w:t xml:space="preserve">allow </w:t>
      </w:r>
      <w:r w:rsidR="008A7C54">
        <w:rPr>
          <w:rFonts w:ascii="Calibri Light" w:hAnsi="Calibri Light" w:cs="Calibri Light"/>
        </w:rPr>
        <w:t xml:space="preserve">coordinated </w:t>
      </w:r>
      <w:r w:rsidR="008E780F" w:rsidRPr="006E255B">
        <w:rPr>
          <w:rFonts w:ascii="Calibri Light" w:hAnsi="Calibri Light" w:cs="Calibri Light"/>
        </w:rPr>
        <w:t>collaborati</w:t>
      </w:r>
      <w:r w:rsidR="008A7C54">
        <w:rPr>
          <w:rFonts w:ascii="Calibri Light" w:hAnsi="Calibri Light" w:cs="Calibri Light"/>
        </w:rPr>
        <w:t>on</w:t>
      </w:r>
      <w:r w:rsidR="008E780F" w:rsidRPr="006E255B">
        <w:rPr>
          <w:rFonts w:ascii="Calibri Light" w:hAnsi="Calibri Light" w:cs="Calibri Light"/>
        </w:rPr>
        <w:t xml:space="preserve"> to fill knowledge gaps, and would improve the coordination of Australia</w:t>
      </w:r>
      <w:r w:rsidR="000D6475">
        <w:rPr>
          <w:rFonts w:ascii="Calibri Light" w:hAnsi="Calibri Light" w:cs="Calibri Light"/>
        </w:rPr>
        <w:t>’</w:t>
      </w:r>
      <w:r w:rsidR="008E780F" w:rsidRPr="006E255B">
        <w:rPr>
          <w:rFonts w:ascii="Calibri Light" w:hAnsi="Calibri Light" w:cs="Calibri Light"/>
        </w:rPr>
        <w:t>s investment</w:t>
      </w:r>
      <w:r w:rsidR="0089571B">
        <w:rPr>
          <w:rFonts w:ascii="Calibri Light" w:hAnsi="Calibri Light" w:cs="Calibri Light"/>
        </w:rPr>
        <w:t xml:space="preserve"> in </w:t>
      </w:r>
      <w:r w:rsidR="008E780F" w:rsidRPr="006E255B">
        <w:rPr>
          <w:rFonts w:ascii="Calibri Light" w:hAnsi="Calibri Light" w:cs="Calibri Light"/>
        </w:rPr>
        <w:t xml:space="preserve">research and development. </w:t>
      </w:r>
    </w:p>
    <w:p w14:paraId="3865C6A7" w14:textId="77777777" w:rsidR="007B1C67" w:rsidRDefault="007B1C67" w:rsidP="00515634">
      <w:pPr>
        <w:spacing w:after="120" w:line="240" w:lineRule="auto"/>
        <w:rPr>
          <w:rFonts w:ascii="Calibri Light" w:hAnsi="Calibri Light" w:cs="Calibri Light"/>
        </w:rPr>
      </w:pPr>
      <w:r w:rsidRPr="006E255B">
        <w:rPr>
          <w:rFonts w:ascii="Calibri Light" w:hAnsi="Calibri Light" w:cs="Calibri Light"/>
        </w:rPr>
        <w:t xml:space="preserve">A national research agenda </w:t>
      </w:r>
      <w:r w:rsidR="00346324">
        <w:rPr>
          <w:rFonts w:ascii="Calibri Light" w:hAnsi="Calibri Light" w:cs="Calibri Light"/>
        </w:rPr>
        <w:t>would</w:t>
      </w:r>
      <w:r w:rsidRPr="006E255B">
        <w:rPr>
          <w:rFonts w:ascii="Calibri Light" w:hAnsi="Calibri Light" w:cs="Calibri Light"/>
        </w:rPr>
        <w:t xml:space="preserve"> identify the priorities </w:t>
      </w:r>
      <w:r w:rsidR="0089571B">
        <w:rPr>
          <w:rFonts w:ascii="Calibri Light" w:hAnsi="Calibri Light" w:cs="Calibri Light"/>
        </w:rPr>
        <w:t>for</w:t>
      </w:r>
      <w:r w:rsidRPr="006E255B">
        <w:rPr>
          <w:rFonts w:ascii="Calibri Light" w:hAnsi="Calibri Light" w:cs="Calibri Light"/>
        </w:rPr>
        <w:t xml:space="preserve"> </w:t>
      </w:r>
      <w:r w:rsidR="00346324">
        <w:rPr>
          <w:rFonts w:ascii="Calibri Light" w:hAnsi="Calibri Light" w:cs="Calibri Light"/>
        </w:rPr>
        <w:t>each</w:t>
      </w:r>
      <w:r w:rsidRPr="006E255B">
        <w:rPr>
          <w:rFonts w:ascii="Calibri Light" w:hAnsi="Calibri Light" w:cs="Calibri Light"/>
        </w:rPr>
        <w:t xml:space="preserve"> sector</w:t>
      </w:r>
      <w:r w:rsidR="00252DAB">
        <w:rPr>
          <w:rFonts w:ascii="Calibri Light" w:hAnsi="Calibri Light" w:cs="Calibri Light"/>
        </w:rPr>
        <w:t xml:space="preserve">, such as the </w:t>
      </w:r>
      <w:r w:rsidRPr="006E255B">
        <w:rPr>
          <w:rFonts w:ascii="Calibri Light" w:hAnsi="Calibri Light" w:cs="Calibri Light"/>
        </w:rPr>
        <w:t>need for baseline data on the extent of antimicrobial resistance in the environment</w:t>
      </w:r>
      <w:r w:rsidR="00252DAB">
        <w:rPr>
          <w:rFonts w:ascii="Calibri Light" w:hAnsi="Calibri Light" w:cs="Calibri Light"/>
        </w:rPr>
        <w:t>;</w:t>
      </w:r>
      <w:r w:rsidRPr="006E255B">
        <w:rPr>
          <w:rFonts w:ascii="Calibri Light" w:hAnsi="Calibri Light" w:cs="Calibri Light"/>
        </w:rPr>
        <w:t xml:space="preserve"> and priorities </w:t>
      </w:r>
      <w:r w:rsidR="00346324">
        <w:rPr>
          <w:rFonts w:ascii="Calibri Light" w:hAnsi="Calibri Light" w:cs="Calibri Light"/>
        </w:rPr>
        <w:t xml:space="preserve">to be pursued </w:t>
      </w:r>
      <w:r w:rsidRPr="006E255B">
        <w:rPr>
          <w:rFonts w:ascii="Calibri Light" w:hAnsi="Calibri Light" w:cs="Calibri Light"/>
        </w:rPr>
        <w:t>at the intersection of sectors</w:t>
      </w:r>
      <w:r w:rsidR="00346324">
        <w:rPr>
          <w:rFonts w:ascii="Calibri Light" w:hAnsi="Calibri Light" w:cs="Calibri Light"/>
        </w:rPr>
        <w:t xml:space="preserve">, </w:t>
      </w:r>
      <w:r w:rsidRPr="006E255B">
        <w:rPr>
          <w:rFonts w:ascii="Calibri Light" w:hAnsi="Calibri Light" w:cs="Calibri Light"/>
        </w:rPr>
        <w:t>such as transmission risks between humans, animals and the environment.</w:t>
      </w:r>
    </w:p>
    <w:p w14:paraId="3382D135" w14:textId="4F63E0D9" w:rsidR="0001567D" w:rsidRDefault="0001567D" w:rsidP="0001567D">
      <w:pPr>
        <w:spacing w:after="120" w:line="240" w:lineRule="auto"/>
        <w:rPr>
          <w:rFonts w:ascii="Calibri Light" w:hAnsi="Calibri Light" w:cs="Calibri Light"/>
        </w:rPr>
      </w:pPr>
      <w:r>
        <w:rPr>
          <w:rFonts w:ascii="Calibri Light" w:hAnsi="Calibri Light" w:cs="Calibri Light"/>
        </w:rPr>
        <w:t>It would</w:t>
      </w:r>
      <w:r w:rsidRPr="006E255B">
        <w:rPr>
          <w:rFonts w:ascii="Calibri Light" w:hAnsi="Calibri Light" w:cs="Calibri Light"/>
        </w:rPr>
        <w:t xml:space="preserve"> guide the allocation of resources</w:t>
      </w:r>
      <w:r>
        <w:rPr>
          <w:rFonts w:ascii="Calibri Light" w:hAnsi="Calibri Light" w:cs="Calibri Light"/>
        </w:rPr>
        <w:t xml:space="preserve">, </w:t>
      </w:r>
      <w:r w:rsidRPr="006E255B">
        <w:rPr>
          <w:rFonts w:ascii="Calibri Light" w:hAnsi="Calibri Light" w:cs="Calibri Light"/>
        </w:rPr>
        <w:t xml:space="preserve">and focus attention on areas where new discoveries, technological innovation </w:t>
      </w:r>
      <w:r>
        <w:rPr>
          <w:rFonts w:ascii="Calibri Light" w:hAnsi="Calibri Light" w:cs="Calibri Light"/>
        </w:rPr>
        <w:t>or</w:t>
      </w:r>
      <w:r w:rsidRPr="006E255B">
        <w:rPr>
          <w:rFonts w:ascii="Calibri Light" w:hAnsi="Calibri Light" w:cs="Calibri Light"/>
        </w:rPr>
        <w:t xml:space="preserve"> </w:t>
      </w:r>
      <w:r>
        <w:rPr>
          <w:rFonts w:ascii="Calibri Light" w:hAnsi="Calibri Light" w:cs="Calibri Light"/>
        </w:rPr>
        <w:t xml:space="preserve">new </w:t>
      </w:r>
      <w:r w:rsidRPr="006E255B">
        <w:rPr>
          <w:rFonts w:ascii="Calibri Light" w:hAnsi="Calibri Light" w:cs="Calibri Light"/>
        </w:rPr>
        <w:t>best</w:t>
      </w:r>
      <w:r w:rsidR="009646C6">
        <w:rPr>
          <w:rFonts w:ascii="Calibri Light" w:hAnsi="Calibri Light" w:cs="Calibri Light"/>
        </w:rPr>
        <w:t>-</w:t>
      </w:r>
      <w:r w:rsidRPr="006E255B">
        <w:rPr>
          <w:rFonts w:ascii="Calibri Light" w:hAnsi="Calibri Light" w:cs="Calibri Light"/>
        </w:rPr>
        <w:t xml:space="preserve">practice </w:t>
      </w:r>
      <w:r>
        <w:rPr>
          <w:rFonts w:ascii="Calibri Light" w:hAnsi="Calibri Light" w:cs="Calibri Light"/>
        </w:rPr>
        <w:t xml:space="preserve">initiatives </w:t>
      </w:r>
      <w:r w:rsidRPr="006E255B">
        <w:rPr>
          <w:rFonts w:ascii="Calibri Light" w:hAnsi="Calibri Light" w:cs="Calibri Light"/>
        </w:rPr>
        <w:t xml:space="preserve">are most needed. It would also </w:t>
      </w:r>
      <w:r>
        <w:rPr>
          <w:rFonts w:ascii="Calibri Light" w:hAnsi="Calibri Light" w:cs="Calibri Light"/>
        </w:rPr>
        <w:t>highlight</w:t>
      </w:r>
      <w:r w:rsidRPr="006E255B">
        <w:rPr>
          <w:rFonts w:ascii="Calibri Light" w:hAnsi="Calibri Light" w:cs="Calibri Light"/>
        </w:rPr>
        <w:t xml:space="preserve"> </w:t>
      </w:r>
      <w:r>
        <w:rPr>
          <w:rFonts w:ascii="Calibri Light" w:hAnsi="Calibri Light" w:cs="Calibri Light"/>
        </w:rPr>
        <w:t>areas</w:t>
      </w:r>
      <w:r w:rsidRPr="006E255B">
        <w:rPr>
          <w:rFonts w:ascii="Calibri Light" w:hAnsi="Calibri Light" w:cs="Calibri Light"/>
        </w:rPr>
        <w:t xml:space="preserve"> </w:t>
      </w:r>
      <w:r>
        <w:rPr>
          <w:rFonts w:ascii="Calibri Light" w:hAnsi="Calibri Light" w:cs="Calibri Light"/>
        </w:rPr>
        <w:t>for</w:t>
      </w:r>
      <w:r w:rsidRPr="006E255B">
        <w:rPr>
          <w:rFonts w:ascii="Calibri Light" w:hAnsi="Calibri Light" w:cs="Calibri Light"/>
        </w:rPr>
        <w:t xml:space="preserve"> international research</w:t>
      </w:r>
      <w:r w:rsidR="00C26998">
        <w:rPr>
          <w:rFonts w:ascii="Calibri Light" w:hAnsi="Calibri Light" w:cs="Calibri Light"/>
        </w:rPr>
        <w:t xml:space="preserve"> collaboration</w:t>
      </w:r>
      <w:r w:rsidR="006E7AC0">
        <w:rPr>
          <w:rFonts w:ascii="Calibri Light" w:hAnsi="Calibri Light" w:cs="Calibri Light"/>
        </w:rPr>
        <w:t xml:space="preserve"> as well as</w:t>
      </w:r>
      <w:r w:rsidRPr="006E255B">
        <w:rPr>
          <w:rFonts w:ascii="Calibri Light" w:hAnsi="Calibri Light" w:cs="Calibri Light"/>
        </w:rPr>
        <w:t xml:space="preserve"> </w:t>
      </w:r>
      <w:r w:rsidR="006E7AC0">
        <w:rPr>
          <w:rFonts w:ascii="Calibri Light" w:hAnsi="Calibri Light" w:cs="Calibri Light"/>
        </w:rPr>
        <w:t>encourage</w:t>
      </w:r>
      <w:r w:rsidRPr="006E255B">
        <w:rPr>
          <w:rFonts w:ascii="Calibri Light" w:hAnsi="Calibri Light" w:cs="Calibri Light"/>
        </w:rPr>
        <w:t xml:space="preserve"> efficiencies in </w:t>
      </w:r>
      <w:r w:rsidR="006E7AC0">
        <w:rPr>
          <w:rFonts w:ascii="Calibri Light" w:hAnsi="Calibri Light" w:cs="Calibri Light"/>
        </w:rPr>
        <w:t xml:space="preserve">Australian </w:t>
      </w:r>
      <w:r w:rsidRPr="006E255B">
        <w:rPr>
          <w:rFonts w:ascii="Calibri Light" w:hAnsi="Calibri Light" w:cs="Calibri Light"/>
        </w:rPr>
        <w:t xml:space="preserve">research and development by minimising duplication. The </w:t>
      </w:r>
      <w:r w:rsidR="00FF5E1E">
        <w:rPr>
          <w:rFonts w:ascii="Calibri Light" w:hAnsi="Calibri Light" w:cs="Calibri Light"/>
        </w:rPr>
        <w:t>creation</w:t>
      </w:r>
      <w:r w:rsidRPr="006E255B">
        <w:rPr>
          <w:rFonts w:ascii="Calibri Light" w:hAnsi="Calibri Light" w:cs="Calibri Light"/>
        </w:rPr>
        <w:t xml:space="preserve"> of a </w:t>
      </w:r>
      <w:r w:rsidR="00FF5E1E" w:rsidRPr="006E255B">
        <w:rPr>
          <w:rFonts w:ascii="Calibri Light" w:hAnsi="Calibri Light" w:cs="Calibri Light"/>
        </w:rPr>
        <w:t xml:space="preserve">mechanism </w:t>
      </w:r>
      <w:r w:rsidR="00FF5E1E">
        <w:rPr>
          <w:rFonts w:ascii="Calibri Light" w:hAnsi="Calibri Light" w:cs="Calibri Light"/>
        </w:rPr>
        <w:t xml:space="preserve">for </w:t>
      </w:r>
      <w:r w:rsidRPr="006E255B">
        <w:rPr>
          <w:rFonts w:ascii="Calibri Light" w:hAnsi="Calibri Light" w:cs="Calibri Light"/>
        </w:rPr>
        <w:t xml:space="preserve">national coordination, with sector representation consistent with a One Health approach, will </w:t>
      </w:r>
      <w:r w:rsidR="00246911">
        <w:rPr>
          <w:rFonts w:ascii="Calibri Light" w:hAnsi="Calibri Light" w:cs="Calibri Light"/>
        </w:rPr>
        <w:t xml:space="preserve">further </w:t>
      </w:r>
      <w:r w:rsidRPr="006E255B">
        <w:rPr>
          <w:rFonts w:ascii="Calibri Light" w:hAnsi="Calibri Light" w:cs="Calibri Light"/>
        </w:rPr>
        <w:t xml:space="preserve">assist </w:t>
      </w:r>
      <w:r w:rsidR="00246911">
        <w:rPr>
          <w:rFonts w:ascii="Calibri Light" w:hAnsi="Calibri Light" w:cs="Calibri Light"/>
        </w:rPr>
        <w:t xml:space="preserve">in </w:t>
      </w:r>
      <w:r w:rsidRPr="006E255B">
        <w:rPr>
          <w:rFonts w:ascii="Calibri Light" w:hAnsi="Calibri Light" w:cs="Calibri Light"/>
        </w:rPr>
        <w:t>coordinat</w:t>
      </w:r>
      <w:r w:rsidR="00246911">
        <w:rPr>
          <w:rFonts w:ascii="Calibri Light" w:hAnsi="Calibri Light" w:cs="Calibri Light"/>
        </w:rPr>
        <w:t>ing</w:t>
      </w:r>
      <w:r w:rsidRPr="006E255B">
        <w:rPr>
          <w:rFonts w:ascii="Calibri Light" w:hAnsi="Calibri Light" w:cs="Calibri Light"/>
        </w:rPr>
        <w:t xml:space="preserve"> Australia</w:t>
      </w:r>
      <w:r w:rsidR="000D6475">
        <w:rPr>
          <w:rFonts w:ascii="Calibri Light" w:hAnsi="Calibri Light" w:cs="Calibri Light"/>
        </w:rPr>
        <w:t>’</w:t>
      </w:r>
      <w:r w:rsidRPr="006E255B">
        <w:rPr>
          <w:rFonts w:ascii="Calibri Light" w:hAnsi="Calibri Light" w:cs="Calibri Light"/>
        </w:rPr>
        <w:t>s research and development efforts.</w:t>
      </w:r>
    </w:p>
    <w:p w14:paraId="3CA09E3E" w14:textId="2F82D3FB" w:rsidR="008C2C79" w:rsidRPr="006E255B" w:rsidRDefault="00562DE6" w:rsidP="00DC45B2">
      <w:pPr>
        <w:spacing w:after="120" w:line="240" w:lineRule="auto"/>
        <w:rPr>
          <w:b/>
          <w:smallCaps/>
          <w:sz w:val="28"/>
          <w:szCs w:val="28"/>
        </w:rPr>
      </w:pPr>
      <w:r>
        <w:rPr>
          <w:rFonts w:ascii="Calibri Light" w:hAnsi="Calibri Light" w:cs="Calibri Light"/>
        </w:rPr>
        <w:t>I</w:t>
      </w:r>
      <w:r w:rsidR="00246911" w:rsidRPr="006E255B">
        <w:rPr>
          <w:rFonts w:ascii="Calibri Light" w:hAnsi="Calibri Light" w:cs="Calibri Light"/>
        </w:rPr>
        <w:t xml:space="preserve">nnovative ways </w:t>
      </w:r>
      <w:r w:rsidR="009170B7">
        <w:rPr>
          <w:rFonts w:ascii="Calibri Light" w:hAnsi="Calibri Light" w:cs="Calibri Light"/>
        </w:rPr>
        <w:t xml:space="preserve">will be needed </w:t>
      </w:r>
      <w:r w:rsidR="00246911" w:rsidRPr="006E255B">
        <w:rPr>
          <w:rFonts w:ascii="Calibri Light" w:hAnsi="Calibri Light" w:cs="Calibri Light"/>
        </w:rPr>
        <w:t>to fund</w:t>
      </w:r>
      <w:r w:rsidR="00246911">
        <w:rPr>
          <w:rFonts w:ascii="Calibri Light" w:hAnsi="Calibri Light" w:cs="Calibri Light"/>
        </w:rPr>
        <w:t xml:space="preserve">, </w:t>
      </w:r>
      <w:r w:rsidR="00246911" w:rsidRPr="006E255B">
        <w:rPr>
          <w:rFonts w:ascii="Calibri Light" w:hAnsi="Calibri Light" w:cs="Calibri Light"/>
        </w:rPr>
        <w:t xml:space="preserve">or </w:t>
      </w:r>
      <w:r w:rsidR="009170B7">
        <w:rPr>
          <w:rFonts w:ascii="Calibri Light" w:hAnsi="Calibri Light" w:cs="Calibri Light"/>
        </w:rPr>
        <w:t>stimulate</w:t>
      </w:r>
      <w:r w:rsidR="00246911">
        <w:rPr>
          <w:rFonts w:ascii="Calibri Light" w:hAnsi="Calibri Light" w:cs="Calibri Light"/>
        </w:rPr>
        <w:t xml:space="preserve">, </w:t>
      </w:r>
      <w:r w:rsidR="00246911" w:rsidRPr="006E255B">
        <w:rPr>
          <w:rFonts w:ascii="Calibri Light" w:hAnsi="Calibri Light" w:cs="Calibri Light"/>
        </w:rPr>
        <w:t xml:space="preserve">the discovery and development of new approaches </w:t>
      </w:r>
      <w:r w:rsidR="009170B7" w:rsidRPr="006E255B">
        <w:rPr>
          <w:rFonts w:ascii="Calibri Light" w:hAnsi="Calibri Light" w:cs="Calibri Light"/>
        </w:rPr>
        <w:t xml:space="preserve">to </w:t>
      </w:r>
      <w:r w:rsidR="00712197">
        <w:rPr>
          <w:rFonts w:ascii="Calibri Light" w:hAnsi="Calibri Light" w:cs="Calibri Light"/>
        </w:rPr>
        <w:t xml:space="preserve">the </w:t>
      </w:r>
      <w:r w:rsidR="009170B7" w:rsidRPr="006E255B">
        <w:rPr>
          <w:rFonts w:ascii="Calibri Light" w:hAnsi="Calibri Light" w:cs="Calibri Light"/>
        </w:rPr>
        <w:t>prevent</w:t>
      </w:r>
      <w:r w:rsidR="009170B7">
        <w:rPr>
          <w:rFonts w:ascii="Calibri Light" w:hAnsi="Calibri Light" w:cs="Calibri Light"/>
        </w:rPr>
        <w:t>ion</w:t>
      </w:r>
      <w:r w:rsidR="009170B7" w:rsidRPr="006E255B">
        <w:rPr>
          <w:rFonts w:ascii="Calibri Light" w:hAnsi="Calibri Light" w:cs="Calibri Light"/>
        </w:rPr>
        <w:t>, detect</w:t>
      </w:r>
      <w:r w:rsidR="009170B7">
        <w:rPr>
          <w:rFonts w:ascii="Calibri Light" w:hAnsi="Calibri Light" w:cs="Calibri Light"/>
        </w:rPr>
        <w:t>ion</w:t>
      </w:r>
      <w:r w:rsidR="009170B7" w:rsidRPr="006E255B">
        <w:rPr>
          <w:rFonts w:ascii="Calibri Light" w:hAnsi="Calibri Light" w:cs="Calibri Light"/>
        </w:rPr>
        <w:t xml:space="preserve"> and contain</w:t>
      </w:r>
      <w:r w:rsidR="009170B7">
        <w:rPr>
          <w:rFonts w:ascii="Calibri Light" w:hAnsi="Calibri Light" w:cs="Calibri Light"/>
        </w:rPr>
        <w:t>ment</w:t>
      </w:r>
      <w:r w:rsidR="009170B7" w:rsidRPr="006E255B">
        <w:rPr>
          <w:rFonts w:ascii="Calibri Light" w:hAnsi="Calibri Light" w:cs="Calibri Light"/>
        </w:rPr>
        <w:t xml:space="preserve"> </w:t>
      </w:r>
      <w:r w:rsidR="009170B7">
        <w:rPr>
          <w:rFonts w:ascii="Calibri Light" w:hAnsi="Calibri Light" w:cs="Calibri Light"/>
        </w:rPr>
        <w:t xml:space="preserve">of </w:t>
      </w:r>
      <w:r w:rsidR="009170B7" w:rsidRPr="006E255B">
        <w:rPr>
          <w:rFonts w:ascii="Calibri Light" w:hAnsi="Calibri Light" w:cs="Calibri Light"/>
        </w:rPr>
        <w:t>antimicrobial resistance</w:t>
      </w:r>
      <w:r w:rsidR="00506CE2">
        <w:rPr>
          <w:rFonts w:ascii="Calibri Light" w:hAnsi="Calibri Light" w:cs="Calibri Light"/>
        </w:rPr>
        <w:t>,</w:t>
      </w:r>
      <w:r w:rsidR="001B776E">
        <w:rPr>
          <w:rFonts w:ascii="Calibri Light" w:hAnsi="Calibri Light" w:cs="Calibri Light"/>
        </w:rPr>
        <w:t xml:space="preserve"> in both the public and private sectors</w:t>
      </w:r>
      <w:r w:rsidR="009170B7">
        <w:rPr>
          <w:rFonts w:ascii="Calibri Light" w:hAnsi="Calibri Light" w:cs="Calibri Light"/>
        </w:rPr>
        <w:t xml:space="preserve">. </w:t>
      </w:r>
      <w:r w:rsidR="009170B7" w:rsidRPr="006E255B">
        <w:rPr>
          <w:rFonts w:ascii="Calibri Light" w:hAnsi="Calibri Light" w:cs="Calibri Light"/>
        </w:rPr>
        <w:t>This includes alternative funding models such as Product Development Partnerships (PDPs) and Public-Private Partnerships (PPPs).</w:t>
      </w:r>
      <w:r>
        <w:rPr>
          <w:rFonts w:ascii="Calibri Light" w:hAnsi="Calibri Light" w:cs="Calibri Light"/>
        </w:rPr>
        <w:t xml:space="preserve"> However, for the nation t</w:t>
      </w:r>
      <w:r w:rsidR="008E780F" w:rsidRPr="006E255B">
        <w:rPr>
          <w:rFonts w:ascii="Calibri Light" w:hAnsi="Calibri Light" w:cs="Calibri Light"/>
        </w:rPr>
        <w:t xml:space="preserve">o benefit from </w:t>
      </w:r>
      <w:r w:rsidR="00712197" w:rsidRPr="006E255B">
        <w:rPr>
          <w:rFonts w:ascii="Calibri Light" w:hAnsi="Calibri Light" w:cs="Calibri Light"/>
        </w:rPr>
        <w:t>investment</w:t>
      </w:r>
      <w:r>
        <w:rPr>
          <w:rFonts w:ascii="Calibri Light" w:hAnsi="Calibri Light" w:cs="Calibri Light"/>
        </w:rPr>
        <w:t>s</w:t>
      </w:r>
      <w:r w:rsidR="00712197" w:rsidRPr="006E255B">
        <w:rPr>
          <w:rFonts w:ascii="Calibri Light" w:hAnsi="Calibri Light" w:cs="Calibri Light"/>
        </w:rPr>
        <w:t xml:space="preserve"> </w:t>
      </w:r>
      <w:r w:rsidR="00712197">
        <w:rPr>
          <w:rFonts w:ascii="Calibri Light" w:hAnsi="Calibri Light" w:cs="Calibri Light"/>
        </w:rPr>
        <w:t xml:space="preserve">in </w:t>
      </w:r>
      <w:r w:rsidR="008E780F" w:rsidRPr="006E255B">
        <w:rPr>
          <w:rFonts w:ascii="Calibri Light" w:hAnsi="Calibri Light" w:cs="Calibri Light"/>
        </w:rPr>
        <w:t xml:space="preserve">research and development, findings </w:t>
      </w:r>
      <w:r>
        <w:rPr>
          <w:rFonts w:ascii="Calibri Light" w:hAnsi="Calibri Light" w:cs="Calibri Light"/>
        </w:rPr>
        <w:t xml:space="preserve">will </w:t>
      </w:r>
      <w:r w:rsidR="008E780F" w:rsidRPr="006E255B">
        <w:rPr>
          <w:rFonts w:ascii="Calibri Light" w:hAnsi="Calibri Light" w:cs="Calibri Light"/>
        </w:rPr>
        <w:t xml:space="preserve">need to be transferrable to the grass-roots level </w:t>
      </w:r>
      <w:r>
        <w:rPr>
          <w:rFonts w:ascii="Calibri Light" w:hAnsi="Calibri Light" w:cs="Calibri Light"/>
        </w:rPr>
        <w:t>across</w:t>
      </w:r>
      <w:r w:rsidR="008E780F" w:rsidRPr="006E255B">
        <w:rPr>
          <w:rFonts w:ascii="Calibri Light" w:hAnsi="Calibri Light" w:cs="Calibri Light"/>
        </w:rPr>
        <w:t xml:space="preserve"> all sectors. </w:t>
      </w:r>
      <w:bookmarkStart w:id="49" w:name="_Toc8939442"/>
      <w:r w:rsidR="008C2C79" w:rsidRPr="006E255B">
        <w:rPr>
          <w:b/>
        </w:rPr>
        <w:br w:type="page"/>
      </w:r>
    </w:p>
    <w:p w14:paraId="78E38F01" w14:textId="266CE0B3" w:rsidR="008E780F" w:rsidRDefault="00594B19">
      <w:pPr>
        <w:pStyle w:val="Heading2"/>
        <w:numPr>
          <w:ilvl w:val="0"/>
          <w:numId w:val="14"/>
        </w:numPr>
        <w:spacing w:before="0" w:after="120" w:line="240" w:lineRule="auto"/>
        <w:rPr>
          <w:b/>
        </w:rPr>
      </w:pPr>
      <w:bookmarkStart w:id="50" w:name="_Toc18311693"/>
      <w:r w:rsidRPr="00594B19">
        <w:rPr>
          <w:b/>
        </w:rPr>
        <w:lastRenderedPageBreak/>
        <w:t>Strengthen Global Collaboration and Partnerships</w:t>
      </w:r>
      <w:bookmarkEnd w:id="49"/>
      <w:bookmarkEnd w:id="50"/>
    </w:p>
    <w:p w14:paraId="4CF21B70" w14:textId="77777777" w:rsidR="008A6D60" w:rsidRDefault="000936EE" w:rsidP="008A6D60">
      <w:pPr>
        <w:rPr>
          <w:rFonts w:ascii="Calibri Light" w:hAnsi="Calibri Light" w:cs="Calibri Light"/>
        </w:rPr>
      </w:pPr>
      <w:r w:rsidRPr="006E255B">
        <w:rPr>
          <w:noProof/>
          <w:lang w:eastAsia="en-AU"/>
        </w:rPr>
        <mc:AlternateContent>
          <mc:Choice Requires="wps">
            <w:drawing>
              <wp:inline distT="0" distB="0" distL="0" distR="0" wp14:anchorId="7B8FDBF1" wp14:editId="58F595AD">
                <wp:extent cx="1828800" cy="1828800"/>
                <wp:effectExtent l="0" t="0" r="15240" b="16510"/>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A476988" w14:textId="77777777" w:rsidR="00F96E29" w:rsidRPr="00D85499" w:rsidRDefault="00F96E29" w:rsidP="00D85499">
                            <w:pPr>
                              <w:rPr>
                                <w:b/>
                              </w:rPr>
                            </w:pPr>
                            <w:r w:rsidRPr="00D85499">
                              <w:rPr>
                                <w:b/>
                              </w:rPr>
                              <w:t xml:space="preserve">Priority Areas for Action </w:t>
                            </w:r>
                          </w:p>
                          <w:p w14:paraId="20A87AD9" w14:textId="77777777" w:rsidR="00F96E29" w:rsidRPr="00D85499" w:rsidRDefault="00F96E29" w:rsidP="00D85499">
                            <w:pPr>
                              <w:rPr>
                                <w:rFonts w:eastAsia="Times New Roman"/>
                              </w:rPr>
                            </w:pPr>
                            <w:r>
                              <w:rPr>
                                <w:rFonts w:eastAsia="Times New Roman" w:cs="Palatino Linotype"/>
                                <w:b/>
                                <w:bCs/>
                                <w:color w:val="939597"/>
                              </w:rPr>
                              <w:t>7</w:t>
                            </w:r>
                            <w:r w:rsidRPr="00D85499">
                              <w:rPr>
                                <w:rFonts w:eastAsia="Times New Roman" w:cs="Palatino Linotype"/>
                                <w:b/>
                                <w:bCs/>
                                <w:color w:val="939597"/>
                              </w:rPr>
                              <w:t>.1</w:t>
                            </w:r>
                            <w:r>
                              <w:rPr>
                                <w:rFonts w:eastAsia="Times New Roman" w:cs="Palatino Linotype"/>
                                <w:b/>
                                <w:bCs/>
                                <w:color w:val="939597"/>
                              </w:rPr>
                              <w:t xml:space="preserve"> </w:t>
                            </w:r>
                            <w:r>
                              <w:rPr>
                                <w:rFonts w:eastAsia="Times New Roman"/>
                              </w:rPr>
                              <w:t>Influence</w:t>
                            </w:r>
                            <w:r w:rsidRPr="00D85499">
                              <w:rPr>
                                <w:rFonts w:eastAsia="Times New Roman"/>
                              </w:rPr>
                              <w:t xml:space="preserve"> the global </w:t>
                            </w:r>
                            <w:r>
                              <w:rPr>
                                <w:rFonts w:eastAsia="Times New Roman"/>
                              </w:rPr>
                              <w:t>antimicrobial resistance</w:t>
                            </w:r>
                            <w:r w:rsidRPr="00D85499">
                              <w:rPr>
                                <w:rFonts w:eastAsia="Times New Roman"/>
                              </w:rPr>
                              <w:t xml:space="preserve"> agenda by active engagement and collaboration with other countries, multilateral organisations </w:t>
                            </w:r>
                            <w:r>
                              <w:rPr>
                                <w:rFonts w:eastAsia="Times New Roman"/>
                              </w:rPr>
                              <w:t xml:space="preserve">and </w:t>
                            </w:r>
                            <w:r w:rsidRPr="00D85499">
                              <w:rPr>
                                <w:rFonts w:eastAsia="Times New Roman"/>
                              </w:rPr>
                              <w:t>forums</w:t>
                            </w:r>
                          </w:p>
                          <w:p w14:paraId="7A7D94CB" w14:textId="77777777" w:rsidR="00F96E29" w:rsidRPr="00D85499" w:rsidRDefault="00F96E29" w:rsidP="00D85499">
                            <w:pPr>
                              <w:rPr>
                                <w:rFonts w:eastAsia="Times New Roman"/>
                              </w:rPr>
                            </w:pPr>
                            <w:r>
                              <w:rPr>
                                <w:rFonts w:eastAsia="Times New Roman" w:cs="Palatino Linotype"/>
                                <w:b/>
                                <w:bCs/>
                                <w:color w:val="939597"/>
                              </w:rPr>
                              <w:t>7</w:t>
                            </w:r>
                            <w:r w:rsidRPr="00D85499">
                              <w:rPr>
                                <w:rFonts w:eastAsia="Times New Roman" w:cs="Palatino Linotype"/>
                                <w:b/>
                                <w:bCs/>
                                <w:color w:val="939597"/>
                              </w:rPr>
                              <w:t>.2</w:t>
                            </w:r>
                            <w:r>
                              <w:rPr>
                                <w:rFonts w:eastAsia="Times New Roman" w:cs="Palatino Linotype"/>
                                <w:b/>
                                <w:bCs/>
                                <w:color w:val="939597"/>
                              </w:rPr>
                              <w:t xml:space="preserve"> </w:t>
                            </w:r>
                            <w:r>
                              <w:rPr>
                                <w:rFonts w:eastAsia="Times New Roman"/>
                              </w:rPr>
                              <w:t>Promote</w:t>
                            </w:r>
                            <w:r w:rsidRPr="00D85499">
                              <w:rPr>
                                <w:rFonts w:eastAsia="Times New Roman"/>
                              </w:rPr>
                              <w:t xml:space="preserve"> </w:t>
                            </w:r>
                            <w:r>
                              <w:rPr>
                                <w:rFonts w:eastAsia="Times New Roman"/>
                              </w:rPr>
                              <w:t>the</w:t>
                            </w:r>
                            <w:r w:rsidRPr="00D85499">
                              <w:rPr>
                                <w:rFonts w:eastAsia="Times New Roman"/>
                              </w:rPr>
                              <w:t xml:space="preserve"> importance</w:t>
                            </w:r>
                            <w:r>
                              <w:rPr>
                                <w:rFonts w:eastAsia="Times New Roman"/>
                              </w:rPr>
                              <w:t xml:space="preserve"> of antimicrobial resistance</w:t>
                            </w:r>
                            <w:r w:rsidRPr="00D85499">
                              <w:rPr>
                                <w:rFonts w:eastAsia="Times New Roman"/>
                              </w:rPr>
                              <w:t xml:space="preserve"> </w:t>
                            </w:r>
                            <w:r>
                              <w:rPr>
                                <w:rFonts w:eastAsia="Times New Roman"/>
                              </w:rPr>
                              <w:t>in the South East Asia and Pacific regions,</w:t>
                            </w:r>
                            <w:r w:rsidRPr="00D85499">
                              <w:rPr>
                                <w:rFonts w:eastAsia="Times New Roman"/>
                              </w:rPr>
                              <w:t xml:space="preserve"> and engage in related initiatives to </w:t>
                            </w:r>
                            <w:r>
                              <w:rPr>
                                <w:rFonts w:eastAsia="Times New Roman"/>
                              </w:rPr>
                              <w:t xml:space="preserve">build regulatory and other </w:t>
                            </w:r>
                            <w:r w:rsidRPr="00D85499">
                              <w:rPr>
                                <w:rFonts w:eastAsia="Times New Roman"/>
                              </w:rPr>
                              <w:t>capacity</w:t>
                            </w:r>
                          </w:p>
                          <w:p w14:paraId="3EC23844" w14:textId="77777777" w:rsidR="00F96E29" w:rsidRPr="00F54ABE" w:rsidRDefault="00F96E29" w:rsidP="002C5587">
                            <w:pPr>
                              <w:rPr>
                                <w:rFonts w:eastAsia="Times New Roman" w:cs="Palatino Linotype"/>
                                <w:b/>
                                <w:bCs/>
                                <w:color w:val="939597"/>
                              </w:rPr>
                            </w:pPr>
                            <w:r>
                              <w:rPr>
                                <w:rFonts w:eastAsia="Times New Roman" w:cs="Palatino Linotype"/>
                                <w:b/>
                                <w:bCs/>
                                <w:color w:val="939597"/>
                              </w:rPr>
                              <w:t>7.3</w:t>
                            </w:r>
                            <w:r w:rsidRPr="00D85499">
                              <w:rPr>
                                <w:rFonts w:eastAsia="Times New Roman"/>
                              </w:rPr>
                              <w:t xml:space="preserve"> Participate in international surveillance and monitoring initiatives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B8FDBF1" id="Text Box 10" o:spid="_x0000_s1034"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" filled="f" strokeweight=".5pt">
                <v:textbox style="mso-fit-shape-to-text:t">
                  <w:txbxContent>
                    <w:p w14:paraId="7A476988" w14:textId="77777777" w:rsidR="00F96E29" w:rsidRPr="00D85499" w:rsidRDefault="00F96E29" w:rsidP="00D85499">
                      <w:pPr>
                        <w:rPr>
                          <w:b/>
                        </w:rPr>
                      </w:pPr>
                      <w:r w:rsidRPr="00D85499">
                        <w:rPr>
                          <w:b/>
                        </w:rPr>
                        <w:t xml:space="preserve">Priority Areas for Action </w:t>
                      </w:r>
                    </w:p>
                    <w:p w14:paraId="20A87AD9" w14:textId="77777777" w:rsidR="00F96E29" w:rsidRPr="00D85499" w:rsidRDefault="00F96E29" w:rsidP="00D85499">
                      <w:pPr>
                        <w:rPr>
                          <w:rFonts w:eastAsia="Times New Roman"/>
                        </w:rPr>
                      </w:pPr>
                      <w:r>
                        <w:rPr>
                          <w:rFonts w:eastAsia="Times New Roman" w:cs="Palatino Linotype"/>
                          <w:b/>
                          <w:bCs/>
                          <w:color w:val="939597"/>
                        </w:rPr>
                        <w:t>7</w:t>
                      </w:r>
                      <w:r w:rsidRPr="00D85499">
                        <w:rPr>
                          <w:rFonts w:eastAsia="Times New Roman" w:cs="Palatino Linotype"/>
                          <w:b/>
                          <w:bCs/>
                          <w:color w:val="939597"/>
                        </w:rPr>
                        <w:t>.1</w:t>
                      </w:r>
                      <w:r>
                        <w:rPr>
                          <w:rFonts w:eastAsia="Times New Roman" w:cs="Palatino Linotype"/>
                          <w:b/>
                          <w:bCs/>
                          <w:color w:val="939597"/>
                        </w:rPr>
                        <w:t xml:space="preserve"> </w:t>
                      </w:r>
                      <w:r>
                        <w:rPr>
                          <w:rFonts w:eastAsia="Times New Roman"/>
                        </w:rPr>
                        <w:t>Influence</w:t>
                      </w:r>
                      <w:r w:rsidRPr="00D85499">
                        <w:rPr>
                          <w:rFonts w:eastAsia="Times New Roman"/>
                        </w:rPr>
                        <w:t xml:space="preserve"> the global </w:t>
                      </w:r>
                      <w:r>
                        <w:rPr>
                          <w:rFonts w:eastAsia="Times New Roman"/>
                        </w:rPr>
                        <w:t>antimicrobial resistance</w:t>
                      </w:r>
                      <w:r w:rsidRPr="00D85499">
                        <w:rPr>
                          <w:rFonts w:eastAsia="Times New Roman"/>
                        </w:rPr>
                        <w:t xml:space="preserve"> agenda by active engagement and collaboration with other countries, multilateral organisations </w:t>
                      </w:r>
                      <w:r>
                        <w:rPr>
                          <w:rFonts w:eastAsia="Times New Roman"/>
                        </w:rPr>
                        <w:t xml:space="preserve">and </w:t>
                      </w:r>
                      <w:r w:rsidRPr="00D85499">
                        <w:rPr>
                          <w:rFonts w:eastAsia="Times New Roman"/>
                        </w:rPr>
                        <w:t>forums</w:t>
                      </w:r>
                    </w:p>
                    <w:p w14:paraId="7A7D94CB" w14:textId="77777777" w:rsidR="00F96E29" w:rsidRPr="00D85499" w:rsidRDefault="00F96E29" w:rsidP="00D85499">
                      <w:pPr>
                        <w:rPr>
                          <w:rFonts w:eastAsia="Times New Roman"/>
                        </w:rPr>
                      </w:pPr>
                      <w:r>
                        <w:rPr>
                          <w:rFonts w:eastAsia="Times New Roman" w:cs="Palatino Linotype"/>
                          <w:b/>
                          <w:bCs/>
                          <w:color w:val="939597"/>
                        </w:rPr>
                        <w:t>7</w:t>
                      </w:r>
                      <w:r w:rsidRPr="00D85499">
                        <w:rPr>
                          <w:rFonts w:eastAsia="Times New Roman" w:cs="Palatino Linotype"/>
                          <w:b/>
                          <w:bCs/>
                          <w:color w:val="939597"/>
                        </w:rPr>
                        <w:t>.2</w:t>
                      </w:r>
                      <w:r>
                        <w:rPr>
                          <w:rFonts w:eastAsia="Times New Roman" w:cs="Palatino Linotype"/>
                          <w:b/>
                          <w:bCs/>
                          <w:color w:val="939597"/>
                        </w:rPr>
                        <w:t xml:space="preserve"> </w:t>
                      </w:r>
                      <w:r>
                        <w:rPr>
                          <w:rFonts w:eastAsia="Times New Roman"/>
                        </w:rPr>
                        <w:t>Promote</w:t>
                      </w:r>
                      <w:r w:rsidRPr="00D85499">
                        <w:rPr>
                          <w:rFonts w:eastAsia="Times New Roman"/>
                        </w:rPr>
                        <w:t xml:space="preserve"> </w:t>
                      </w:r>
                      <w:r>
                        <w:rPr>
                          <w:rFonts w:eastAsia="Times New Roman"/>
                        </w:rPr>
                        <w:t>the</w:t>
                      </w:r>
                      <w:r w:rsidRPr="00D85499">
                        <w:rPr>
                          <w:rFonts w:eastAsia="Times New Roman"/>
                        </w:rPr>
                        <w:t xml:space="preserve"> importance</w:t>
                      </w:r>
                      <w:r>
                        <w:rPr>
                          <w:rFonts w:eastAsia="Times New Roman"/>
                        </w:rPr>
                        <w:t xml:space="preserve"> of antimicrobial resistance</w:t>
                      </w:r>
                      <w:r w:rsidRPr="00D85499">
                        <w:rPr>
                          <w:rFonts w:eastAsia="Times New Roman"/>
                        </w:rPr>
                        <w:t xml:space="preserve"> </w:t>
                      </w:r>
                      <w:r>
                        <w:rPr>
                          <w:rFonts w:eastAsia="Times New Roman"/>
                        </w:rPr>
                        <w:t>in the South East Asia and Pacific regions,</w:t>
                      </w:r>
                      <w:r w:rsidRPr="00D85499">
                        <w:rPr>
                          <w:rFonts w:eastAsia="Times New Roman"/>
                        </w:rPr>
                        <w:t xml:space="preserve"> and engage in related initiatives to </w:t>
                      </w:r>
                      <w:r>
                        <w:rPr>
                          <w:rFonts w:eastAsia="Times New Roman"/>
                        </w:rPr>
                        <w:t xml:space="preserve">build regulatory and other </w:t>
                      </w:r>
                      <w:r w:rsidRPr="00D85499">
                        <w:rPr>
                          <w:rFonts w:eastAsia="Times New Roman"/>
                        </w:rPr>
                        <w:t>capacity</w:t>
                      </w:r>
                    </w:p>
                    <w:p w14:paraId="3EC23844" w14:textId="77777777" w:rsidR="00F96E29" w:rsidRPr="00F54ABE" w:rsidRDefault="00F96E29" w:rsidP="002C5587">
                      <w:pPr>
                        <w:rPr>
                          <w:rFonts w:eastAsia="Times New Roman" w:cs="Palatino Linotype"/>
                          <w:b/>
                          <w:bCs/>
                          <w:color w:val="939597"/>
                        </w:rPr>
                      </w:pPr>
                      <w:r>
                        <w:rPr>
                          <w:rFonts w:eastAsia="Times New Roman" w:cs="Palatino Linotype"/>
                          <w:b/>
                          <w:bCs/>
                          <w:color w:val="939597"/>
                        </w:rPr>
                        <w:t>7.3</w:t>
                      </w:r>
                      <w:r w:rsidRPr="00D85499">
                        <w:rPr>
                          <w:rFonts w:eastAsia="Times New Roman"/>
                        </w:rPr>
                        <w:t xml:space="preserve"> Participate in international surveillance and monitoring initiatives</w:t>
                      </w:r>
                    </w:p>
                  </w:txbxContent>
                </v:textbox>
                <w10:anchorlock/>
              </v:shape>
            </w:pict>
          </mc:Fallback>
        </mc:AlternateContent>
      </w:r>
    </w:p>
    <w:p w14:paraId="7F137E1C" w14:textId="77777777" w:rsidR="00766FDC" w:rsidRPr="006E255B" w:rsidRDefault="00766FDC" w:rsidP="00116341">
      <w:pPr>
        <w:spacing w:after="120" w:line="240" w:lineRule="auto"/>
        <w:rPr>
          <w:rFonts w:ascii="Calibri Light" w:hAnsi="Calibri Light" w:cs="Calibri Light"/>
        </w:rPr>
      </w:pPr>
      <w:r w:rsidRPr="006E255B">
        <w:rPr>
          <w:rFonts w:ascii="Calibri Light" w:hAnsi="Calibri Light" w:cs="Calibri Light"/>
        </w:rPr>
        <w:t xml:space="preserve">Resistant organisms are </w:t>
      </w:r>
      <w:r w:rsidR="0018763D">
        <w:rPr>
          <w:rFonts w:ascii="Calibri Light" w:hAnsi="Calibri Light" w:cs="Calibri Light"/>
        </w:rPr>
        <w:t xml:space="preserve">now </w:t>
      </w:r>
      <w:r w:rsidRPr="006E255B">
        <w:rPr>
          <w:rFonts w:ascii="Calibri Light" w:hAnsi="Calibri Light" w:cs="Calibri Light"/>
        </w:rPr>
        <w:t xml:space="preserve">spreading across the </w:t>
      </w:r>
      <w:r w:rsidR="0018763D">
        <w:rPr>
          <w:rFonts w:ascii="Calibri Light" w:hAnsi="Calibri Light" w:cs="Calibri Light"/>
        </w:rPr>
        <w:t>world</w:t>
      </w:r>
      <w:r w:rsidRPr="006E255B">
        <w:rPr>
          <w:rFonts w:ascii="Calibri Light" w:hAnsi="Calibri Light" w:cs="Calibri Light"/>
        </w:rPr>
        <w:t xml:space="preserve"> faster and further than ever before</w:t>
      </w:r>
      <w:r w:rsidR="0018763D">
        <w:rPr>
          <w:rFonts w:ascii="Calibri Light" w:hAnsi="Calibri Light" w:cs="Calibri Light"/>
        </w:rPr>
        <w:t>.</w:t>
      </w:r>
      <w:r w:rsidRPr="006E255B">
        <w:rPr>
          <w:rFonts w:ascii="Calibri Light" w:hAnsi="Calibri Light" w:cs="Calibri Light"/>
        </w:rPr>
        <w:t xml:space="preserve"> </w:t>
      </w:r>
      <w:r w:rsidR="0018763D">
        <w:rPr>
          <w:rFonts w:ascii="Calibri Light" w:hAnsi="Calibri Light" w:cs="Calibri Light"/>
        </w:rPr>
        <w:t>I</w:t>
      </w:r>
      <w:r w:rsidRPr="006E255B">
        <w:rPr>
          <w:rFonts w:ascii="Calibri Light" w:hAnsi="Calibri Light" w:cs="Calibri Light"/>
        </w:rPr>
        <w:t xml:space="preserve">n large part, </w:t>
      </w:r>
      <w:r w:rsidR="0018763D">
        <w:rPr>
          <w:rFonts w:ascii="Calibri Light" w:hAnsi="Calibri Light" w:cs="Calibri Light"/>
        </w:rPr>
        <w:t>this is due</w:t>
      </w:r>
      <w:r w:rsidRPr="006E255B">
        <w:rPr>
          <w:rFonts w:ascii="Calibri Light" w:hAnsi="Calibri Light" w:cs="Calibri Light"/>
        </w:rPr>
        <w:t xml:space="preserve"> </w:t>
      </w:r>
      <w:r w:rsidR="0018763D">
        <w:rPr>
          <w:rFonts w:ascii="Calibri Light" w:hAnsi="Calibri Light" w:cs="Calibri Light"/>
        </w:rPr>
        <w:t>to the growth of</w:t>
      </w:r>
      <w:r w:rsidRPr="006E255B">
        <w:rPr>
          <w:rFonts w:ascii="Calibri Light" w:hAnsi="Calibri Light" w:cs="Calibri Light"/>
        </w:rPr>
        <w:t xml:space="preserve"> </w:t>
      </w:r>
      <w:r w:rsidR="00002AA9" w:rsidRPr="006E255B">
        <w:rPr>
          <w:rFonts w:ascii="Calibri Light" w:hAnsi="Calibri Light" w:cs="Calibri Light"/>
        </w:rPr>
        <w:t>international trade and travel.</w:t>
      </w:r>
      <w:r w:rsidRPr="006E255B">
        <w:rPr>
          <w:rFonts w:ascii="Calibri Light" w:hAnsi="Calibri Light" w:cs="Calibri Light"/>
        </w:rPr>
        <w:t xml:space="preserve"> </w:t>
      </w:r>
      <w:r w:rsidR="008E780F" w:rsidRPr="006E255B">
        <w:rPr>
          <w:rFonts w:ascii="Calibri Light" w:hAnsi="Calibri Light" w:cs="Calibri Light"/>
        </w:rPr>
        <w:t xml:space="preserve">As a wealthy developed </w:t>
      </w:r>
      <w:r w:rsidR="0018763D">
        <w:rPr>
          <w:rFonts w:ascii="Calibri Light" w:hAnsi="Calibri Light" w:cs="Calibri Light"/>
        </w:rPr>
        <w:t>nation</w:t>
      </w:r>
      <w:r w:rsidR="008E780F" w:rsidRPr="006E255B">
        <w:rPr>
          <w:rFonts w:ascii="Calibri Light" w:hAnsi="Calibri Light" w:cs="Calibri Light"/>
        </w:rPr>
        <w:t xml:space="preserve"> with an advanced health system</w:t>
      </w:r>
      <w:r w:rsidR="0018763D">
        <w:rPr>
          <w:rFonts w:ascii="Calibri Light" w:hAnsi="Calibri Light" w:cs="Calibri Light"/>
        </w:rPr>
        <w:t xml:space="preserve">, </w:t>
      </w:r>
      <w:r w:rsidR="008E780F" w:rsidRPr="006E255B">
        <w:rPr>
          <w:rFonts w:ascii="Calibri Light" w:hAnsi="Calibri Light" w:cs="Calibri Light"/>
        </w:rPr>
        <w:t xml:space="preserve">Australia has a responsibility </w:t>
      </w:r>
      <w:r w:rsidR="0018763D">
        <w:rPr>
          <w:rFonts w:ascii="Calibri Light" w:hAnsi="Calibri Light" w:cs="Calibri Light"/>
        </w:rPr>
        <w:t xml:space="preserve">– as well as </w:t>
      </w:r>
      <w:r w:rsidR="00F34420" w:rsidRPr="006E255B">
        <w:rPr>
          <w:rFonts w:ascii="Calibri Light" w:hAnsi="Calibri Light" w:cs="Calibri Light"/>
        </w:rPr>
        <w:t>a vested</w:t>
      </w:r>
      <w:r w:rsidR="008E780F" w:rsidRPr="006E255B">
        <w:rPr>
          <w:rFonts w:ascii="Calibri Light" w:hAnsi="Calibri Light" w:cs="Calibri Light"/>
        </w:rPr>
        <w:t xml:space="preserve"> interest </w:t>
      </w:r>
      <w:r w:rsidR="0018763D">
        <w:rPr>
          <w:rFonts w:ascii="Calibri Light" w:hAnsi="Calibri Light" w:cs="Calibri Light"/>
        </w:rPr>
        <w:t xml:space="preserve">– </w:t>
      </w:r>
      <w:r w:rsidR="008E780F" w:rsidRPr="006E255B">
        <w:rPr>
          <w:rFonts w:ascii="Calibri Light" w:hAnsi="Calibri Light" w:cs="Calibri Light"/>
        </w:rPr>
        <w:t xml:space="preserve">in addressing </w:t>
      </w:r>
      <w:r w:rsidRPr="006E255B">
        <w:rPr>
          <w:rFonts w:ascii="Calibri Light" w:hAnsi="Calibri Light" w:cs="Calibri Light"/>
        </w:rPr>
        <w:t>antimicrobial resistance</w:t>
      </w:r>
      <w:r w:rsidR="008E780F" w:rsidRPr="006E255B">
        <w:rPr>
          <w:rFonts w:ascii="Calibri Light" w:hAnsi="Calibri Light" w:cs="Calibri Light"/>
        </w:rPr>
        <w:t xml:space="preserve"> in </w:t>
      </w:r>
      <w:r w:rsidRPr="006E255B">
        <w:rPr>
          <w:rFonts w:ascii="Calibri Light" w:hAnsi="Calibri Light" w:cs="Calibri Light"/>
        </w:rPr>
        <w:t>our region.</w:t>
      </w:r>
      <w:r w:rsidR="008E780F" w:rsidRPr="006E255B">
        <w:rPr>
          <w:rFonts w:ascii="Calibri Light" w:hAnsi="Calibri Light" w:cs="Calibri Light"/>
        </w:rPr>
        <w:t xml:space="preserve"> </w:t>
      </w:r>
    </w:p>
    <w:p w14:paraId="29DA03FD" w14:textId="77777777" w:rsidR="008E780F" w:rsidRPr="006E255B" w:rsidRDefault="008E780F" w:rsidP="00D85499">
      <w:pPr>
        <w:spacing w:after="120" w:line="240" w:lineRule="auto"/>
        <w:rPr>
          <w:rFonts w:ascii="Calibri Light" w:hAnsi="Calibri Light" w:cs="Calibri Light"/>
        </w:rPr>
      </w:pPr>
      <w:r w:rsidRPr="006E255B">
        <w:rPr>
          <w:rFonts w:ascii="Calibri Light" w:hAnsi="Calibri Light" w:cs="Calibri Light"/>
        </w:rPr>
        <w:t>Growth in</w:t>
      </w:r>
      <w:r w:rsidR="009659AF">
        <w:rPr>
          <w:rFonts w:ascii="Calibri Light" w:hAnsi="Calibri Light" w:cs="Calibri Light"/>
        </w:rPr>
        <w:t xml:space="preserve"> tourism, business travel and</w:t>
      </w:r>
      <w:r w:rsidRPr="006E255B">
        <w:rPr>
          <w:rFonts w:ascii="Calibri Light" w:hAnsi="Calibri Light" w:cs="Calibri Light"/>
        </w:rPr>
        <w:t xml:space="preserve"> medical tourism</w:t>
      </w:r>
      <w:r w:rsidR="0018763D">
        <w:rPr>
          <w:rFonts w:ascii="Calibri Light" w:hAnsi="Calibri Light" w:cs="Calibri Light"/>
        </w:rPr>
        <w:t xml:space="preserve"> – in which </w:t>
      </w:r>
      <w:r w:rsidRPr="006E255B">
        <w:rPr>
          <w:rFonts w:ascii="Calibri Light" w:hAnsi="Calibri Light" w:cs="Calibri Light"/>
        </w:rPr>
        <w:t xml:space="preserve">people </w:t>
      </w:r>
      <w:r w:rsidR="0018763D">
        <w:rPr>
          <w:rFonts w:ascii="Calibri Light" w:hAnsi="Calibri Light" w:cs="Calibri Light"/>
        </w:rPr>
        <w:t xml:space="preserve">travel </w:t>
      </w:r>
      <w:r w:rsidRPr="006E255B">
        <w:rPr>
          <w:rFonts w:ascii="Calibri Light" w:hAnsi="Calibri Light" w:cs="Calibri Light"/>
        </w:rPr>
        <w:t xml:space="preserve">to another country </w:t>
      </w:r>
      <w:r w:rsidR="00B90281">
        <w:rPr>
          <w:rFonts w:ascii="Calibri Light" w:hAnsi="Calibri Light" w:cs="Calibri Light"/>
        </w:rPr>
        <w:t xml:space="preserve">to </w:t>
      </w:r>
      <w:r w:rsidRPr="006E255B">
        <w:rPr>
          <w:rFonts w:ascii="Calibri Light" w:hAnsi="Calibri Light" w:cs="Calibri Light"/>
        </w:rPr>
        <w:t>obtain medical treatment</w:t>
      </w:r>
      <w:r w:rsidR="00B90281">
        <w:rPr>
          <w:rFonts w:ascii="Calibri Light" w:hAnsi="Calibri Light" w:cs="Calibri Light"/>
        </w:rPr>
        <w:t xml:space="preserve"> – </w:t>
      </w:r>
      <w:r w:rsidRPr="006E255B">
        <w:rPr>
          <w:rFonts w:ascii="Calibri Light" w:hAnsi="Calibri Light" w:cs="Calibri Light"/>
        </w:rPr>
        <w:t xml:space="preserve">has also </w:t>
      </w:r>
      <w:r w:rsidR="00F34420" w:rsidRPr="006E255B">
        <w:rPr>
          <w:rFonts w:ascii="Calibri Light" w:hAnsi="Calibri Light" w:cs="Calibri Light"/>
        </w:rPr>
        <w:t>contributed to</w:t>
      </w:r>
      <w:r w:rsidRPr="006E255B">
        <w:rPr>
          <w:rFonts w:ascii="Calibri Light" w:hAnsi="Calibri Light" w:cs="Calibri Light"/>
        </w:rPr>
        <w:t xml:space="preserve"> the international spread of infections</w:t>
      </w:r>
      <w:r w:rsidR="00B90281">
        <w:rPr>
          <w:rFonts w:ascii="Calibri Light" w:hAnsi="Calibri Light" w:cs="Calibri Light"/>
        </w:rPr>
        <w:t>, often acquired in</w:t>
      </w:r>
      <w:r w:rsidR="00744627">
        <w:rPr>
          <w:rFonts w:ascii="Calibri Light" w:hAnsi="Calibri Light" w:cs="Calibri Light"/>
        </w:rPr>
        <w:t xml:space="preserve"> </w:t>
      </w:r>
      <w:r w:rsidR="00B90281" w:rsidRPr="006E255B">
        <w:rPr>
          <w:rFonts w:ascii="Calibri Light" w:hAnsi="Calibri Light" w:cs="Calibri Light"/>
        </w:rPr>
        <w:t xml:space="preserve">health care </w:t>
      </w:r>
      <w:r w:rsidR="00B90281">
        <w:rPr>
          <w:rFonts w:ascii="Calibri Light" w:hAnsi="Calibri Light" w:cs="Calibri Light"/>
        </w:rPr>
        <w:t>settings,</w:t>
      </w:r>
      <w:r w:rsidR="00B90281" w:rsidRPr="006E255B">
        <w:rPr>
          <w:rFonts w:ascii="Calibri Light" w:hAnsi="Calibri Light" w:cs="Calibri Light"/>
        </w:rPr>
        <w:t xml:space="preserve"> </w:t>
      </w:r>
      <w:r w:rsidRPr="006E255B">
        <w:rPr>
          <w:rFonts w:ascii="Calibri Light" w:hAnsi="Calibri Light" w:cs="Calibri Light"/>
        </w:rPr>
        <w:t xml:space="preserve">that are frequently resistant to multiple </w:t>
      </w:r>
      <w:r w:rsidR="00B90281" w:rsidRPr="006E255B">
        <w:rPr>
          <w:rFonts w:ascii="Calibri Light" w:hAnsi="Calibri Light" w:cs="Calibri Light"/>
        </w:rPr>
        <w:t>antimicrobial</w:t>
      </w:r>
      <w:r w:rsidR="00B90281">
        <w:rPr>
          <w:rFonts w:ascii="Calibri Light" w:hAnsi="Calibri Light" w:cs="Calibri Light"/>
        </w:rPr>
        <w:t>s</w:t>
      </w:r>
      <w:r w:rsidRPr="006E255B">
        <w:rPr>
          <w:rFonts w:ascii="Calibri Light" w:hAnsi="Calibri Light" w:cs="Calibri Light"/>
        </w:rPr>
        <w:t>. This</w:t>
      </w:r>
      <w:r w:rsidR="00F34420" w:rsidRPr="006E255B">
        <w:rPr>
          <w:rFonts w:ascii="Calibri Light" w:hAnsi="Calibri Light" w:cs="Calibri Light"/>
        </w:rPr>
        <w:t xml:space="preserve"> further</w:t>
      </w:r>
      <w:r w:rsidRPr="006E255B">
        <w:rPr>
          <w:rFonts w:ascii="Calibri Light" w:hAnsi="Calibri Light" w:cs="Calibri Light"/>
        </w:rPr>
        <w:t xml:space="preserve"> highlights the global nature of the problem. </w:t>
      </w:r>
    </w:p>
    <w:p w14:paraId="2BD7D8A7" w14:textId="77777777" w:rsidR="000616F2" w:rsidRPr="006E255B" w:rsidRDefault="00B51B5E" w:rsidP="00D85499">
      <w:pPr>
        <w:spacing w:after="120" w:line="240" w:lineRule="auto"/>
        <w:rPr>
          <w:rFonts w:ascii="Calibri Light" w:hAnsi="Calibri Light" w:cs="Calibri Light"/>
        </w:rPr>
      </w:pPr>
      <w:r w:rsidRPr="006E255B">
        <w:rPr>
          <w:rFonts w:ascii="Calibri Light" w:hAnsi="Calibri Light" w:cs="Calibri Light"/>
        </w:rPr>
        <w:t xml:space="preserve">Australia, through the public </w:t>
      </w:r>
      <w:r w:rsidR="009C4DDC">
        <w:rPr>
          <w:rFonts w:ascii="Calibri Light" w:hAnsi="Calibri Light" w:cs="Calibri Light"/>
        </w:rPr>
        <w:t>and</w:t>
      </w:r>
      <w:r w:rsidRPr="006E255B">
        <w:rPr>
          <w:rFonts w:ascii="Calibri Light" w:hAnsi="Calibri Light" w:cs="Calibri Light"/>
        </w:rPr>
        <w:t xml:space="preserve"> private sector</w:t>
      </w:r>
      <w:r w:rsidR="000616F2" w:rsidRPr="006E255B">
        <w:rPr>
          <w:rFonts w:ascii="Calibri Light" w:hAnsi="Calibri Light" w:cs="Calibri Light"/>
        </w:rPr>
        <w:t xml:space="preserve">, </w:t>
      </w:r>
      <w:r w:rsidR="0039682B">
        <w:rPr>
          <w:rFonts w:ascii="Calibri Light" w:hAnsi="Calibri Light" w:cs="Calibri Light"/>
        </w:rPr>
        <w:t xml:space="preserve">and </w:t>
      </w:r>
      <w:r w:rsidR="009C4DDC" w:rsidRPr="006E255B">
        <w:rPr>
          <w:rFonts w:ascii="Calibri Light" w:hAnsi="Calibri Light" w:cs="Calibri Light"/>
        </w:rPr>
        <w:t xml:space="preserve">through the </w:t>
      </w:r>
      <w:r w:rsidRPr="006E255B">
        <w:rPr>
          <w:rFonts w:ascii="Calibri Light" w:hAnsi="Calibri Light" w:cs="Calibri Light"/>
        </w:rPr>
        <w:t>research community</w:t>
      </w:r>
      <w:r w:rsidR="009C4DDC">
        <w:rPr>
          <w:rFonts w:ascii="Calibri Light" w:hAnsi="Calibri Light" w:cs="Calibri Light"/>
        </w:rPr>
        <w:t xml:space="preserve"> and </w:t>
      </w:r>
      <w:r w:rsidR="009C4DDC" w:rsidRPr="006E255B">
        <w:rPr>
          <w:rFonts w:ascii="Calibri Light" w:hAnsi="Calibri Light" w:cs="Calibri Light"/>
        </w:rPr>
        <w:t>industry</w:t>
      </w:r>
      <w:r w:rsidRPr="006E255B">
        <w:rPr>
          <w:rFonts w:ascii="Calibri Light" w:hAnsi="Calibri Light" w:cs="Calibri Light"/>
        </w:rPr>
        <w:t xml:space="preserve">, </w:t>
      </w:r>
      <w:r w:rsidR="0039682B">
        <w:rPr>
          <w:rFonts w:ascii="Calibri Light" w:hAnsi="Calibri Light" w:cs="Calibri Light"/>
        </w:rPr>
        <w:t>has been</w:t>
      </w:r>
      <w:r w:rsidR="00580BBB" w:rsidRPr="006E255B">
        <w:rPr>
          <w:rFonts w:ascii="Calibri Light" w:hAnsi="Calibri Light" w:cs="Calibri Light"/>
        </w:rPr>
        <w:t xml:space="preserve"> collaborating with the international community in a range of areas</w:t>
      </w:r>
      <w:r w:rsidR="0039682B">
        <w:rPr>
          <w:rFonts w:ascii="Calibri Light" w:hAnsi="Calibri Light" w:cs="Calibri Light"/>
        </w:rPr>
        <w:t xml:space="preserve">, </w:t>
      </w:r>
      <w:r w:rsidR="00580BBB" w:rsidRPr="006E255B">
        <w:rPr>
          <w:rFonts w:ascii="Calibri Light" w:hAnsi="Calibri Light" w:cs="Calibri Light"/>
        </w:rPr>
        <w:t xml:space="preserve">such as capacity building in the </w:t>
      </w:r>
      <w:r w:rsidR="00B847F2" w:rsidRPr="006E255B">
        <w:rPr>
          <w:rFonts w:ascii="Calibri Light" w:hAnsi="Calibri Light" w:cs="Calibri Light"/>
        </w:rPr>
        <w:t xml:space="preserve">South East </w:t>
      </w:r>
      <w:r w:rsidR="00580BBB" w:rsidRPr="006E255B">
        <w:rPr>
          <w:rFonts w:ascii="Calibri Light" w:hAnsi="Calibri Light" w:cs="Calibri Light"/>
        </w:rPr>
        <w:t>Asia Pacific</w:t>
      </w:r>
      <w:r w:rsidRPr="006E255B">
        <w:rPr>
          <w:rFonts w:ascii="Calibri Light" w:hAnsi="Calibri Light" w:cs="Calibri Light"/>
        </w:rPr>
        <w:t xml:space="preserve"> region</w:t>
      </w:r>
      <w:r w:rsidR="00580BBB" w:rsidRPr="006E255B">
        <w:rPr>
          <w:rFonts w:ascii="Calibri Light" w:hAnsi="Calibri Light" w:cs="Calibri Light"/>
        </w:rPr>
        <w:t>; prevention and control measures; public education; research and development; and surveillance methods.</w:t>
      </w:r>
    </w:p>
    <w:p w14:paraId="129F4D0C" w14:textId="45B5BB60" w:rsidR="008E780F" w:rsidRPr="006E255B" w:rsidRDefault="00423A96" w:rsidP="00F34420">
      <w:pPr>
        <w:spacing w:after="120" w:line="240" w:lineRule="auto"/>
        <w:rPr>
          <w:rFonts w:ascii="Calibri Light" w:hAnsi="Calibri Light" w:cs="Calibri Light"/>
        </w:rPr>
      </w:pPr>
      <w:r>
        <w:rPr>
          <w:rFonts w:ascii="Calibri Light" w:hAnsi="Calibri Light" w:cs="Calibri Light"/>
        </w:rPr>
        <w:t xml:space="preserve">It is essential </w:t>
      </w:r>
      <w:r w:rsidR="00506CE2">
        <w:rPr>
          <w:rFonts w:ascii="Calibri Light" w:hAnsi="Calibri Light" w:cs="Calibri Light"/>
        </w:rPr>
        <w:t xml:space="preserve">that </w:t>
      </w:r>
      <w:r w:rsidR="008E780F" w:rsidRPr="006E255B">
        <w:rPr>
          <w:rFonts w:ascii="Calibri Light" w:hAnsi="Calibri Light" w:cs="Calibri Light"/>
        </w:rPr>
        <w:t>Australia continue</w:t>
      </w:r>
      <w:r w:rsidR="003B45AA">
        <w:rPr>
          <w:rFonts w:ascii="Calibri Light" w:hAnsi="Calibri Light" w:cs="Calibri Light"/>
        </w:rPr>
        <w:t>s</w:t>
      </w:r>
      <w:r w:rsidR="008E780F" w:rsidRPr="006E255B">
        <w:rPr>
          <w:rFonts w:ascii="Calibri Light" w:hAnsi="Calibri Light" w:cs="Calibri Light"/>
        </w:rPr>
        <w:t xml:space="preserve"> to actively engage and collaborate with other countries, particularly in the </w:t>
      </w:r>
      <w:r w:rsidR="005B68A9">
        <w:rPr>
          <w:rFonts w:ascii="Calibri Light" w:hAnsi="Calibri Light" w:cs="Calibri Light"/>
        </w:rPr>
        <w:t xml:space="preserve">South East </w:t>
      </w:r>
      <w:r w:rsidR="008E780F" w:rsidRPr="006E255B">
        <w:rPr>
          <w:rFonts w:ascii="Calibri Light" w:hAnsi="Calibri Light" w:cs="Calibri Light"/>
        </w:rPr>
        <w:t>Asia</w:t>
      </w:r>
      <w:r w:rsidR="00C14730">
        <w:rPr>
          <w:rFonts w:ascii="Calibri Light" w:hAnsi="Calibri Light" w:cs="Calibri Light"/>
        </w:rPr>
        <w:t xml:space="preserve"> and </w:t>
      </w:r>
      <w:r w:rsidR="008E780F" w:rsidRPr="006E255B">
        <w:rPr>
          <w:rFonts w:ascii="Calibri Light" w:hAnsi="Calibri Light" w:cs="Calibri Light"/>
        </w:rPr>
        <w:t>Pacific region</w:t>
      </w:r>
      <w:r w:rsidR="00C14730">
        <w:rPr>
          <w:rFonts w:ascii="Calibri Light" w:hAnsi="Calibri Light" w:cs="Calibri Light"/>
        </w:rPr>
        <w:t>s</w:t>
      </w:r>
      <w:r w:rsidR="008E780F" w:rsidRPr="006E255B">
        <w:rPr>
          <w:rFonts w:ascii="Calibri Light" w:hAnsi="Calibri Light" w:cs="Calibri Light"/>
        </w:rPr>
        <w:t xml:space="preserve">, </w:t>
      </w:r>
      <w:r w:rsidR="00A17C83">
        <w:rPr>
          <w:rFonts w:ascii="Calibri Light" w:hAnsi="Calibri Light" w:cs="Calibri Light"/>
        </w:rPr>
        <w:t>as well as</w:t>
      </w:r>
      <w:r w:rsidR="0039682B">
        <w:rPr>
          <w:rFonts w:ascii="Calibri Light" w:hAnsi="Calibri Light" w:cs="Calibri Light"/>
        </w:rPr>
        <w:t xml:space="preserve"> with</w:t>
      </w:r>
      <w:r w:rsidR="008E780F" w:rsidRPr="006E255B">
        <w:rPr>
          <w:rFonts w:ascii="Calibri Light" w:hAnsi="Calibri Light" w:cs="Calibri Light"/>
        </w:rPr>
        <w:t xml:space="preserve"> multilateral organisations and forums such as the United Nations, </w:t>
      </w:r>
      <w:r w:rsidR="0039682B">
        <w:rPr>
          <w:rFonts w:ascii="Calibri Light" w:hAnsi="Calibri Light" w:cs="Calibri Light"/>
        </w:rPr>
        <w:t xml:space="preserve">the </w:t>
      </w:r>
      <w:r w:rsidR="008E780F" w:rsidRPr="006E255B">
        <w:rPr>
          <w:rFonts w:ascii="Calibri Light" w:hAnsi="Calibri Light" w:cs="Calibri Light"/>
        </w:rPr>
        <w:t>G20, the Tripartite agencies (</w:t>
      </w:r>
      <w:r w:rsidR="00506CE2">
        <w:rPr>
          <w:rFonts w:ascii="Calibri Light" w:hAnsi="Calibri Light" w:cs="Calibri Light"/>
        </w:rPr>
        <w:t xml:space="preserve">the </w:t>
      </w:r>
      <w:r w:rsidR="008E780F" w:rsidRPr="006E255B">
        <w:rPr>
          <w:rFonts w:ascii="Calibri Light" w:hAnsi="Calibri Light" w:cs="Calibri Light"/>
        </w:rPr>
        <w:t>World Health Organi</w:t>
      </w:r>
      <w:r w:rsidR="005B68A9">
        <w:rPr>
          <w:rFonts w:ascii="Calibri Light" w:hAnsi="Calibri Light" w:cs="Calibri Light"/>
        </w:rPr>
        <w:t>z</w:t>
      </w:r>
      <w:r w:rsidR="008E780F" w:rsidRPr="006E255B">
        <w:rPr>
          <w:rFonts w:ascii="Calibri Light" w:hAnsi="Calibri Light" w:cs="Calibri Light"/>
        </w:rPr>
        <w:t>ation, the Food and Agriculture Organi</w:t>
      </w:r>
      <w:r w:rsidR="005B68A9">
        <w:rPr>
          <w:rFonts w:ascii="Calibri Light" w:hAnsi="Calibri Light" w:cs="Calibri Light"/>
        </w:rPr>
        <w:t>z</w:t>
      </w:r>
      <w:r w:rsidR="008E780F" w:rsidRPr="006E255B">
        <w:rPr>
          <w:rFonts w:ascii="Calibri Light" w:hAnsi="Calibri Light" w:cs="Calibri Light"/>
        </w:rPr>
        <w:t>ation</w:t>
      </w:r>
      <w:r w:rsidR="00924A2A">
        <w:rPr>
          <w:rFonts w:ascii="Calibri Light" w:hAnsi="Calibri Light" w:cs="Calibri Light"/>
        </w:rPr>
        <w:t xml:space="preserve"> of the United Nations</w:t>
      </w:r>
      <w:r w:rsidR="008E780F" w:rsidRPr="006E255B">
        <w:rPr>
          <w:rFonts w:ascii="Calibri Light" w:hAnsi="Calibri Light" w:cs="Calibri Light"/>
        </w:rPr>
        <w:t>, and the World Organisation for Animal Health) a</w:t>
      </w:r>
      <w:r w:rsidR="00F34420" w:rsidRPr="006E255B">
        <w:rPr>
          <w:rFonts w:ascii="Calibri Light" w:hAnsi="Calibri Light" w:cs="Calibri Light"/>
        </w:rPr>
        <w:t xml:space="preserve">nd the UN Environment </w:t>
      </w:r>
      <w:r w:rsidR="00425073" w:rsidRPr="006E255B">
        <w:rPr>
          <w:rFonts w:ascii="Calibri Light" w:hAnsi="Calibri Light" w:cs="Calibri Light"/>
        </w:rPr>
        <w:t>Programme</w:t>
      </w:r>
      <w:r w:rsidR="00F34420" w:rsidRPr="006E255B">
        <w:rPr>
          <w:rFonts w:ascii="Calibri Light" w:hAnsi="Calibri Light" w:cs="Calibri Light"/>
        </w:rPr>
        <w:t xml:space="preserve"> to support collaboration, address potential trade issues, and share information across </w:t>
      </w:r>
      <w:r w:rsidR="00A17C83">
        <w:rPr>
          <w:rFonts w:ascii="Calibri Light" w:hAnsi="Calibri Light" w:cs="Calibri Light"/>
        </w:rPr>
        <w:t>global</w:t>
      </w:r>
      <w:r w:rsidR="00F34420" w:rsidRPr="006E255B">
        <w:rPr>
          <w:rFonts w:ascii="Calibri Light" w:hAnsi="Calibri Light" w:cs="Calibri Light"/>
        </w:rPr>
        <w:t xml:space="preserve"> research networks.</w:t>
      </w:r>
      <w:r w:rsidR="008E780F" w:rsidRPr="006E255B">
        <w:rPr>
          <w:rFonts w:ascii="Calibri Light" w:hAnsi="Calibri Light" w:cs="Calibri Light"/>
        </w:rPr>
        <w:t xml:space="preserve"> Some countries are leading the way on </w:t>
      </w:r>
      <w:r w:rsidR="000509D2">
        <w:rPr>
          <w:rFonts w:ascii="Calibri Light" w:hAnsi="Calibri Light" w:cs="Calibri Light"/>
        </w:rPr>
        <w:t xml:space="preserve">the </w:t>
      </w:r>
      <w:r w:rsidR="008E780F" w:rsidRPr="006E255B">
        <w:rPr>
          <w:rFonts w:ascii="Calibri Light" w:hAnsi="Calibri Light" w:cs="Calibri Light"/>
        </w:rPr>
        <w:t xml:space="preserve">testing and monitoring </w:t>
      </w:r>
      <w:r w:rsidR="000509D2">
        <w:rPr>
          <w:rFonts w:ascii="Calibri Light" w:hAnsi="Calibri Light" w:cs="Calibri Light"/>
        </w:rPr>
        <w:t>of</w:t>
      </w:r>
      <w:r w:rsidR="008E780F" w:rsidRPr="006E255B">
        <w:rPr>
          <w:rFonts w:ascii="Calibri Light" w:hAnsi="Calibri Light" w:cs="Calibri Light"/>
        </w:rPr>
        <w:t xml:space="preserve"> resistance</w:t>
      </w:r>
      <w:r w:rsidR="00A17C83">
        <w:rPr>
          <w:rFonts w:ascii="Calibri Light" w:hAnsi="Calibri Light" w:cs="Calibri Light"/>
        </w:rPr>
        <w:t xml:space="preserve">, or </w:t>
      </w:r>
      <w:r w:rsidR="008E780F" w:rsidRPr="006E255B">
        <w:rPr>
          <w:rFonts w:ascii="Calibri Light" w:hAnsi="Calibri Light" w:cs="Calibri Light"/>
        </w:rPr>
        <w:t xml:space="preserve">reducing antimicrobial use in humans, animals and agriculture, </w:t>
      </w:r>
      <w:r w:rsidR="00A17C83">
        <w:rPr>
          <w:rFonts w:ascii="Calibri Light" w:hAnsi="Calibri Light" w:cs="Calibri Light"/>
        </w:rPr>
        <w:t>so</w:t>
      </w:r>
      <w:r w:rsidR="008E780F" w:rsidRPr="006E255B">
        <w:rPr>
          <w:rFonts w:ascii="Calibri Light" w:hAnsi="Calibri Light" w:cs="Calibri Light"/>
        </w:rPr>
        <w:t xml:space="preserve"> there is considerable scope to learn from </w:t>
      </w:r>
      <w:r w:rsidR="00A17C83">
        <w:rPr>
          <w:rFonts w:ascii="Calibri Light" w:hAnsi="Calibri Light" w:cs="Calibri Light"/>
        </w:rPr>
        <w:t>successes overseas</w:t>
      </w:r>
      <w:r w:rsidR="008E780F" w:rsidRPr="006E255B">
        <w:rPr>
          <w:rFonts w:ascii="Calibri Light" w:hAnsi="Calibri Light" w:cs="Calibri Light"/>
        </w:rPr>
        <w:t xml:space="preserve">. </w:t>
      </w:r>
    </w:p>
    <w:p w14:paraId="045B78B0" w14:textId="3E6B1940" w:rsidR="008E780F" w:rsidRPr="006E255B" w:rsidRDefault="00423A96" w:rsidP="00D85499">
      <w:pPr>
        <w:spacing w:after="120" w:line="240" w:lineRule="auto"/>
        <w:rPr>
          <w:rFonts w:ascii="Calibri Light" w:hAnsi="Calibri Light" w:cs="Calibri Light"/>
        </w:rPr>
      </w:pPr>
      <w:r>
        <w:rPr>
          <w:rFonts w:ascii="Calibri Light" w:hAnsi="Calibri Light" w:cs="Calibri Light"/>
        </w:rPr>
        <w:t>C</w:t>
      </w:r>
      <w:r w:rsidR="008E780F" w:rsidRPr="006E255B">
        <w:rPr>
          <w:rFonts w:ascii="Calibri Light" w:hAnsi="Calibri Light" w:cs="Calibri Light"/>
        </w:rPr>
        <w:t>ontinue</w:t>
      </w:r>
      <w:r>
        <w:rPr>
          <w:rFonts w:ascii="Calibri Light" w:hAnsi="Calibri Light" w:cs="Calibri Light"/>
        </w:rPr>
        <w:t>d</w:t>
      </w:r>
      <w:r w:rsidR="008E780F" w:rsidRPr="006E255B">
        <w:rPr>
          <w:rFonts w:ascii="Calibri Light" w:hAnsi="Calibri Light" w:cs="Calibri Light"/>
        </w:rPr>
        <w:t xml:space="preserve"> involvement in </w:t>
      </w:r>
      <w:r w:rsidR="00B847F2" w:rsidRPr="006E255B">
        <w:rPr>
          <w:rFonts w:ascii="Calibri Light" w:hAnsi="Calibri Light" w:cs="Calibri Light"/>
        </w:rPr>
        <w:t>South East Asia</w:t>
      </w:r>
      <w:r>
        <w:rPr>
          <w:rFonts w:ascii="Calibri Light" w:hAnsi="Calibri Light" w:cs="Calibri Light"/>
        </w:rPr>
        <w:t xml:space="preserve">n and </w:t>
      </w:r>
      <w:r w:rsidR="00B847F2" w:rsidRPr="006E255B">
        <w:rPr>
          <w:rFonts w:ascii="Calibri Light" w:hAnsi="Calibri Light" w:cs="Calibri Light"/>
        </w:rPr>
        <w:t xml:space="preserve">Pacific </w:t>
      </w:r>
      <w:r w:rsidR="008E780F" w:rsidRPr="006E255B">
        <w:rPr>
          <w:rFonts w:ascii="Calibri Light" w:hAnsi="Calibri Light" w:cs="Calibri Light"/>
        </w:rPr>
        <w:t xml:space="preserve">initiatives </w:t>
      </w:r>
      <w:r w:rsidR="003E072A">
        <w:rPr>
          <w:rFonts w:ascii="Calibri Light" w:hAnsi="Calibri Light" w:cs="Calibri Light"/>
        </w:rPr>
        <w:t>aimed at</w:t>
      </w:r>
      <w:r w:rsidR="008E780F" w:rsidRPr="006E255B">
        <w:rPr>
          <w:rFonts w:ascii="Calibri Light" w:hAnsi="Calibri Light" w:cs="Calibri Light"/>
        </w:rPr>
        <w:t xml:space="preserve"> </w:t>
      </w:r>
      <w:r w:rsidRPr="006E255B">
        <w:rPr>
          <w:rFonts w:ascii="Calibri Light" w:hAnsi="Calibri Light" w:cs="Calibri Light"/>
        </w:rPr>
        <w:t>antimicrobial resistance</w:t>
      </w:r>
      <w:r>
        <w:rPr>
          <w:rFonts w:ascii="Calibri Light" w:hAnsi="Calibri Light" w:cs="Calibri Light"/>
        </w:rPr>
        <w:t xml:space="preserve"> is also important</w:t>
      </w:r>
      <w:r w:rsidR="008E780F" w:rsidRPr="006E255B">
        <w:rPr>
          <w:rFonts w:ascii="Calibri Light" w:hAnsi="Calibri Light" w:cs="Calibri Light"/>
        </w:rPr>
        <w:t xml:space="preserve">. This includes supporting systems and policy initiatives that deliver improved One Health action in our region, </w:t>
      </w:r>
      <w:r w:rsidR="00DE794C">
        <w:rPr>
          <w:rFonts w:ascii="Calibri Light" w:hAnsi="Calibri Light" w:cs="Calibri Light"/>
        </w:rPr>
        <w:t xml:space="preserve">such as </w:t>
      </w:r>
      <w:r w:rsidR="003E072A">
        <w:rPr>
          <w:rFonts w:ascii="Calibri Light" w:hAnsi="Calibri Light" w:cs="Calibri Light"/>
        </w:rPr>
        <w:t>enhancing</w:t>
      </w:r>
      <w:r w:rsidR="008E780F" w:rsidRPr="006E255B">
        <w:rPr>
          <w:rFonts w:ascii="Calibri Light" w:hAnsi="Calibri Light" w:cs="Calibri Light"/>
        </w:rPr>
        <w:t xml:space="preserve"> human and animal health systems, </w:t>
      </w:r>
      <w:r w:rsidR="00F34420" w:rsidRPr="006E255B">
        <w:rPr>
          <w:rFonts w:ascii="Calibri Light" w:hAnsi="Calibri Light" w:cs="Calibri Light"/>
        </w:rPr>
        <w:t xml:space="preserve">providing technical </w:t>
      </w:r>
      <w:r w:rsidR="00583822">
        <w:rPr>
          <w:rFonts w:ascii="Calibri Light" w:hAnsi="Calibri Light" w:cs="Calibri Light"/>
        </w:rPr>
        <w:t>assistance</w:t>
      </w:r>
      <w:r w:rsidR="00F34420" w:rsidRPr="006E255B">
        <w:rPr>
          <w:rFonts w:ascii="Calibri Light" w:hAnsi="Calibri Light" w:cs="Calibri Light"/>
        </w:rPr>
        <w:t xml:space="preserve"> </w:t>
      </w:r>
      <w:r w:rsidR="00F17660">
        <w:rPr>
          <w:rFonts w:ascii="Calibri Light" w:hAnsi="Calibri Light" w:cs="Calibri Light"/>
        </w:rPr>
        <w:t>on</w:t>
      </w:r>
      <w:r w:rsidR="00B847F2" w:rsidRPr="006E255B">
        <w:rPr>
          <w:rFonts w:ascii="Calibri Light" w:hAnsi="Calibri Light" w:cs="Calibri Light"/>
        </w:rPr>
        <w:t xml:space="preserve"> </w:t>
      </w:r>
      <w:r w:rsidR="003E072A">
        <w:rPr>
          <w:rFonts w:ascii="Calibri Light" w:hAnsi="Calibri Light" w:cs="Calibri Light"/>
        </w:rPr>
        <w:t xml:space="preserve">better </w:t>
      </w:r>
      <w:r w:rsidR="00F34420" w:rsidRPr="006E255B">
        <w:rPr>
          <w:rFonts w:ascii="Calibri Light" w:hAnsi="Calibri Light" w:cs="Calibri Light"/>
        </w:rPr>
        <w:t>regulat</w:t>
      </w:r>
      <w:r w:rsidR="00583822">
        <w:rPr>
          <w:rFonts w:ascii="Calibri Light" w:hAnsi="Calibri Light" w:cs="Calibri Light"/>
        </w:rPr>
        <w:t>ion</w:t>
      </w:r>
      <w:r w:rsidR="00F17660">
        <w:rPr>
          <w:rFonts w:ascii="Calibri Light" w:hAnsi="Calibri Light" w:cs="Calibri Light"/>
        </w:rPr>
        <w:t xml:space="preserve"> practices</w:t>
      </w:r>
      <w:r w:rsidR="00F34420" w:rsidRPr="006E255B">
        <w:rPr>
          <w:rFonts w:ascii="Calibri Light" w:hAnsi="Calibri Light" w:cs="Calibri Light"/>
        </w:rPr>
        <w:t xml:space="preserve">, </w:t>
      </w:r>
      <w:r w:rsidR="00C85554">
        <w:rPr>
          <w:rFonts w:ascii="Calibri Light" w:hAnsi="Calibri Light" w:cs="Calibri Light"/>
        </w:rPr>
        <w:t>aiding</w:t>
      </w:r>
      <w:r w:rsidR="008E780F" w:rsidRPr="006E255B">
        <w:rPr>
          <w:rFonts w:ascii="Calibri Light" w:hAnsi="Calibri Light" w:cs="Calibri Light"/>
        </w:rPr>
        <w:t xml:space="preserve"> large-scale disease prevention and treatment, and encouraging regional solutions to trans-boundary disease threats. </w:t>
      </w:r>
      <w:r w:rsidR="00DE794C">
        <w:rPr>
          <w:rFonts w:ascii="Calibri Light" w:hAnsi="Calibri Light" w:cs="Calibri Light"/>
        </w:rPr>
        <w:t>Boosting</w:t>
      </w:r>
      <w:r w:rsidR="00766FDC" w:rsidRPr="006E255B">
        <w:rPr>
          <w:rFonts w:ascii="Calibri Light" w:hAnsi="Calibri Light" w:cs="Calibri Light"/>
        </w:rPr>
        <w:t xml:space="preserve"> regulatory capacity </w:t>
      </w:r>
      <w:r w:rsidR="00DE794C">
        <w:rPr>
          <w:rFonts w:ascii="Calibri Light" w:hAnsi="Calibri Light" w:cs="Calibri Light"/>
        </w:rPr>
        <w:t xml:space="preserve">in the region </w:t>
      </w:r>
      <w:r w:rsidR="00766FDC" w:rsidRPr="006E255B">
        <w:rPr>
          <w:rFonts w:ascii="Calibri Light" w:hAnsi="Calibri Light" w:cs="Calibri Light"/>
        </w:rPr>
        <w:t xml:space="preserve">is essential </w:t>
      </w:r>
      <w:r w:rsidR="00DE794C">
        <w:rPr>
          <w:rFonts w:ascii="Calibri Light" w:hAnsi="Calibri Light" w:cs="Calibri Light"/>
        </w:rPr>
        <w:t>to</w:t>
      </w:r>
      <w:r w:rsidR="00766FDC" w:rsidRPr="006E255B">
        <w:rPr>
          <w:rFonts w:ascii="Calibri Light" w:hAnsi="Calibri Light" w:cs="Calibri Light"/>
        </w:rPr>
        <w:t xml:space="preserve"> ensur</w:t>
      </w:r>
      <w:r w:rsidR="00DE794C">
        <w:rPr>
          <w:rFonts w:ascii="Calibri Light" w:hAnsi="Calibri Light" w:cs="Calibri Light"/>
        </w:rPr>
        <w:t>e</w:t>
      </w:r>
      <w:r w:rsidR="00766FDC" w:rsidRPr="006E255B">
        <w:rPr>
          <w:rFonts w:ascii="Calibri Light" w:hAnsi="Calibri Light" w:cs="Calibri Light"/>
        </w:rPr>
        <w:t xml:space="preserve"> access to quality antimicrobial</w:t>
      </w:r>
      <w:r w:rsidR="001842D8">
        <w:rPr>
          <w:rFonts w:ascii="Calibri Light" w:hAnsi="Calibri Light" w:cs="Calibri Light"/>
        </w:rPr>
        <w:t>s</w:t>
      </w:r>
      <w:r w:rsidR="007C1F32">
        <w:rPr>
          <w:rFonts w:ascii="Calibri Light" w:hAnsi="Calibri Light" w:cs="Calibri Light"/>
        </w:rPr>
        <w:t xml:space="preserve"> and </w:t>
      </w:r>
      <w:r w:rsidR="00506CE2">
        <w:rPr>
          <w:rFonts w:ascii="Calibri Light" w:hAnsi="Calibri Light" w:cs="Calibri Light"/>
        </w:rPr>
        <w:t xml:space="preserve">to </w:t>
      </w:r>
      <w:r w:rsidR="007C1F32">
        <w:rPr>
          <w:rFonts w:ascii="Calibri Light" w:hAnsi="Calibri Light" w:cs="Calibri Light"/>
        </w:rPr>
        <w:t>assist with appropriate usage</w:t>
      </w:r>
      <w:r w:rsidR="00DE794C">
        <w:rPr>
          <w:rFonts w:ascii="Calibri Light" w:hAnsi="Calibri Light" w:cs="Calibri Light"/>
        </w:rPr>
        <w:t xml:space="preserve">, and </w:t>
      </w:r>
      <w:r w:rsidR="008E780F" w:rsidRPr="006E255B">
        <w:rPr>
          <w:rFonts w:ascii="Calibri Light" w:hAnsi="Calibri Light" w:cs="Calibri Light"/>
        </w:rPr>
        <w:t xml:space="preserve">Australia </w:t>
      </w:r>
      <w:r w:rsidR="00DE794C">
        <w:rPr>
          <w:rFonts w:ascii="Calibri Light" w:hAnsi="Calibri Light" w:cs="Calibri Light"/>
        </w:rPr>
        <w:t>should</w:t>
      </w:r>
      <w:r w:rsidR="008E780F" w:rsidRPr="006E255B">
        <w:rPr>
          <w:rFonts w:ascii="Calibri Light" w:hAnsi="Calibri Light" w:cs="Calibri Light"/>
        </w:rPr>
        <w:t xml:space="preserve"> explore further opportunities to tackle </w:t>
      </w:r>
      <w:r w:rsidR="00002AA9" w:rsidRPr="006E255B">
        <w:rPr>
          <w:rFonts w:ascii="Calibri Light" w:hAnsi="Calibri Light" w:cs="Calibri Light"/>
        </w:rPr>
        <w:t>antimicrobial resistance</w:t>
      </w:r>
      <w:r w:rsidR="008E780F" w:rsidRPr="006E255B">
        <w:rPr>
          <w:rFonts w:ascii="Calibri Light" w:hAnsi="Calibri Light" w:cs="Calibri Light"/>
        </w:rPr>
        <w:t xml:space="preserve"> and advance </w:t>
      </w:r>
      <w:r w:rsidR="00B847F2" w:rsidRPr="006E255B">
        <w:rPr>
          <w:rFonts w:ascii="Calibri Light" w:hAnsi="Calibri Light" w:cs="Calibri Light"/>
        </w:rPr>
        <w:t xml:space="preserve">the </w:t>
      </w:r>
      <w:r w:rsidR="008E780F" w:rsidRPr="006E255B">
        <w:rPr>
          <w:rFonts w:ascii="Calibri Light" w:hAnsi="Calibri Light" w:cs="Calibri Light"/>
        </w:rPr>
        <w:t>region</w:t>
      </w:r>
      <w:r w:rsidR="000D6475">
        <w:rPr>
          <w:rFonts w:ascii="Calibri Light" w:hAnsi="Calibri Light" w:cs="Calibri Light"/>
        </w:rPr>
        <w:t>’</w:t>
      </w:r>
      <w:r w:rsidR="00B847F2" w:rsidRPr="006E255B">
        <w:rPr>
          <w:rFonts w:ascii="Calibri Light" w:hAnsi="Calibri Light" w:cs="Calibri Light"/>
        </w:rPr>
        <w:t>s</w:t>
      </w:r>
      <w:r w:rsidR="008E780F" w:rsidRPr="006E255B">
        <w:rPr>
          <w:rFonts w:ascii="Calibri Light" w:hAnsi="Calibri Light" w:cs="Calibri Light"/>
        </w:rPr>
        <w:t xml:space="preserve"> health security </w:t>
      </w:r>
      <w:r w:rsidR="00D321AB">
        <w:rPr>
          <w:rFonts w:ascii="Calibri Light" w:hAnsi="Calibri Light" w:cs="Calibri Light"/>
        </w:rPr>
        <w:t>by engaging with</w:t>
      </w:r>
      <w:r w:rsidR="008E780F" w:rsidRPr="006E255B">
        <w:rPr>
          <w:rFonts w:ascii="Calibri Light" w:hAnsi="Calibri Light" w:cs="Calibri Light"/>
        </w:rPr>
        <w:t xml:space="preserve"> neighbouring countries and global partners.</w:t>
      </w:r>
    </w:p>
    <w:p w14:paraId="4431BBAC" w14:textId="77777777" w:rsidR="00B51B5E" w:rsidRPr="006E255B" w:rsidRDefault="00B51B5E" w:rsidP="00B51B5E">
      <w:pPr>
        <w:spacing w:after="120" w:line="240" w:lineRule="auto"/>
        <w:rPr>
          <w:rFonts w:ascii="Calibri Light" w:hAnsi="Calibri Light" w:cs="Calibri Light"/>
        </w:rPr>
      </w:pPr>
      <w:r w:rsidRPr="006E255B">
        <w:rPr>
          <w:rFonts w:ascii="Calibri Light" w:hAnsi="Calibri Light" w:cs="Calibri Light"/>
        </w:rPr>
        <w:t xml:space="preserve">Without international collaboration, </w:t>
      </w:r>
      <w:r w:rsidR="00D321AB">
        <w:rPr>
          <w:rFonts w:ascii="Calibri Light" w:hAnsi="Calibri Light" w:cs="Calibri Light"/>
        </w:rPr>
        <w:t xml:space="preserve">the </w:t>
      </w:r>
      <w:r w:rsidRPr="006E255B">
        <w:rPr>
          <w:rFonts w:ascii="Calibri Light" w:hAnsi="Calibri Light" w:cs="Calibri Light"/>
        </w:rPr>
        <w:t xml:space="preserve">efforts of individual countries will be less </w:t>
      </w:r>
      <w:r w:rsidR="00D321AB">
        <w:rPr>
          <w:rFonts w:ascii="Calibri Light" w:hAnsi="Calibri Light" w:cs="Calibri Light"/>
        </w:rPr>
        <w:t>effective</w:t>
      </w:r>
      <w:r w:rsidRPr="006E255B">
        <w:rPr>
          <w:rFonts w:ascii="Calibri Light" w:hAnsi="Calibri Light" w:cs="Calibri Light"/>
        </w:rPr>
        <w:t xml:space="preserve"> and </w:t>
      </w:r>
      <w:r w:rsidR="001842D8">
        <w:rPr>
          <w:rFonts w:ascii="Calibri Light" w:hAnsi="Calibri Light" w:cs="Calibri Light"/>
        </w:rPr>
        <w:t xml:space="preserve">create </w:t>
      </w:r>
      <w:r w:rsidRPr="006E255B">
        <w:rPr>
          <w:rFonts w:ascii="Calibri Light" w:hAnsi="Calibri Light" w:cs="Calibri Light"/>
        </w:rPr>
        <w:t>duplicat</w:t>
      </w:r>
      <w:r w:rsidR="001842D8">
        <w:rPr>
          <w:rFonts w:ascii="Calibri Light" w:hAnsi="Calibri Light" w:cs="Calibri Light"/>
        </w:rPr>
        <w:t>ion</w:t>
      </w:r>
      <w:r w:rsidRPr="006E255B">
        <w:rPr>
          <w:rFonts w:ascii="Calibri Light" w:hAnsi="Calibri Light" w:cs="Calibri Light"/>
        </w:rPr>
        <w:t xml:space="preserve">. This is particularly </w:t>
      </w:r>
      <w:r w:rsidR="006C0424">
        <w:rPr>
          <w:rFonts w:ascii="Calibri Light" w:hAnsi="Calibri Light" w:cs="Calibri Light"/>
        </w:rPr>
        <w:t>the case in</w:t>
      </w:r>
      <w:r w:rsidRPr="006E255B">
        <w:rPr>
          <w:rFonts w:ascii="Calibri Light" w:hAnsi="Calibri Light" w:cs="Calibri Light"/>
        </w:rPr>
        <w:t xml:space="preserve"> global research and development, where countries and organisations</w:t>
      </w:r>
      <w:r w:rsidR="006C0424">
        <w:rPr>
          <w:rFonts w:ascii="Calibri Light" w:hAnsi="Calibri Light" w:cs="Calibri Light"/>
        </w:rPr>
        <w:t xml:space="preserve">, </w:t>
      </w:r>
      <w:r w:rsidR="00640A3E">
        <w:rPr>
          <w:rFonts w:ascii="Calibri Light" w:hAnsi="Calibri Light" w:cs="Calibri Light"/>
        </w:rPr>
        <w:t>through</w:t>
      </w:r>
      <w:r w:rsidR="006C0424">
        <w:rPr>
          <w:rFonts w:ascii="Calibri Light" w:hAnsi="Calibri Light" w:cs="Calibri Light"/>
        </w:rPr>
        <w:t xml:space="preserve"> </w:t>
      </w:r>
      <w:r w:rsidR="006C0424" w:rsidRPr="006E255B">
        <w:rPr>
          <w:rFonts w:ascii="Calibri Light" w:hAnsi="Calibri Light" w:cs="Calibri Light"/>
        </w:rPr>
        <w:t>coordination and collaboration</w:t>
      </w:r>
      <w:r w:rsidR="006C0424">
        <w:rPr>
          <w:rFonts w:ascii="Calibri Light" w:hAnsi="Calibri Light" w:cs="Calibri Light"/>
        </w:rPr>
        <w:t xml:space="preserve">, </w:t>
      </w:r>
      <w:r w:rsidRPr="006E255B">
        <w:rPr>
          <w:rFonts w:ascii="Calibri Light" w:hAnsi="Calibri Light" w:cs="Calibri Light"/>
        </w:rPr>
        <w:t xml:space="preserve">can </w:t>
      </w:r>
      <w:r w:rsidR="006C0424">
        <w:rPr>
          <w:rFonts w:ascii="Calibri Light" w:hAnsi="Calibri Light" w:cs="Calibri Light"/>
        </w:rPr>
        <w:t>deliver</w:t>
      </w:r>
      <w:r w:rsidRPr="006E255B">
        <w:rPr>
          <w:rFonts w:ascii="Calibri Light" w:hAnsi="Calibri Light" w:cs="Calibri Light"/>
        </w:rPr>
        <w:t xml:space="preserve"> </w:t>
      </w:r>
      <w:r w:rsidR="006C0424">
        <w:rPr>
          <w:rFonts w:ascii="Calibri Light" w:hAnsi="Calibri Light" w:cs="Calibri Light"/>
        </w:rPr>
        <w:t>better results for less cost</w:t>
      </w:r>
      <w:r w:rsidRPr="006E255B">
        <w:rPr>
          <w:rFonts w:ascii="Calibri Light" w:hAnsi="Calibri Light" w:cs="Calibri Light"/>
        </w:rPr>
        <w:t xml:space="preserve"> </w:t>
      </w:r>
      <w:r w:rsidR="00640A3E">
        <w:rPr>
          <w:rFonts w:ascii="Calibri Light" w:hAnsi="Calibri Light" w:cs="Calibri Light"/>
        </w:rPr>
        <w:t xml:space="preserve">while </w:t>
      </w:r>
      <w:r w:rsidR="00640A3E" w:rsidRPr="006E255B">
        <w:rPr>
          <w:rFonts w:ascii="Calibri Light" w:hAnsi="Calibri Light" w:cs="Calibri Light"/>
        </w:rPr>
        <w:t>maximis</w:t>
      </w:r>
      <w:r w:rsidR="00640A3E">
        <w:rPr>
          <w:rFonts w:ascii="Calibri Light" w:hAnsi="Calibri Light" w:cs="Calibri Light"/>
        </w:rPr>
        <w:t>ing</w:t>
      </w:r>
      <w:r w:rsidR="00640A3E" w:rsidRPr="006E255B">
        <w:rPr>
          <w:rFonts w:ascii="Calibri Light" w:hAnsi="Calibri Light" w:cs="Calibri Light"/>
        </w:rPr>
        <w:t xml:space="preserve"> </w:t>
      </w:r>
      <w:r w:rsidRPr="006E255B">
        <w:rPr>
          <w:rFonts w:ascii="Calibri Light" w:hAnsi="Calibri Light" w:cs="Calibri Light"/>
        </w:rPr>
        <w:t>efficien</w:t>
      </w:r>
      <w:r w:rsidR="00640A3E">
        <w:rPr>
          <w:rFonts w:ascii="Calibri Light" w:hAnsi="Calibri Light" w:cs="Calibri Light"/>
        </w:rPr>
        <w:t xml:space="preserve">cy and </w:t>
      </w:r>
      <w:r w:rsidRPr="006E255B">
        <w:rPr>
          <w:rFonts w:ascii="Calibri Light" w:hAnsi="Calibri Light" w:cs="Calibri Light"/>
        </w:rPr>
        <w:t xml:space="preserve">effort.  </w:t>
      </w:r>
    </w:p>
    <w:p w14:paraId="42F9971E" w14:textId="77777777" w:rsidR="008E780F" w:rsidRPr="006E255B" w:rsidRDefault="008E780F" w:rsidP="008E780F">
      <w:pPr>
        <w:rPr>
          <w:b/>
          <w:smallCaps/>
          <w:sz w:val="28"/>
          <w:szCs w:val="28"/>
        </w:rPr>
      </w:pPr>
      <w:r w:rsidRPr="006E255B">
        <w:rPr>
          <w:b/>
        </w:rPr>
        <w:br w:type="page"/>
      </w:r>
    </w:p>
    <w:p w14:paraId="7C27275F" w14:textId="56568C09" w:rsidR="00197AB5" w:rsidRPr="006E255B" w:rsidRDefault="00846E3A" w:rsidP="00930229">
      <w:pPr>
        <w:pStyle w:val="Heading1"/>
        <w:spacing w:before="0" w:after="120" w:line="240" w:lineRule="auto"/>
        <w:contextualSpacing w:val="0"/>
        <w:rPr>
          <w:b/>
        </w:rPr>
      </w:pPr>
      <w:bookmarkStart w:id="51" w:name="_Toc18311694"/>
      <w:r w:rsidRPr="006E255B">
        <w:rPr>
          <w:b/>
        </w:rPr>
        <w:lastRenderedPageBreak/>
        <w:t>T</w:t>
      </w:r>
      <w:r w:rsidR="00197AB5" w:rsidRPr="006E255B">
        <w:rPr>
          <w:b/>
        </w:rPr>
        <w:t xml:space="preserve">aking </w:t>
      </w:r>
      <w:r w:rsidR="00A24728">
        <w:rPr>
          <w:b/>
        </w:rPr>
        <w:t>A</w:t>
      </w:r>
      <w:r w:rsidR="00197AB5" w:rsidRPr="006E255B">
        <w:rPr>
          <w:b/>
        </w:rPr>
        <w:t xml:space="preserve">ction and </w:t>
      </w:r>
      <w:r w:rsidR="00A24728">
        <w:rPr>
          <w:b/>
        </w:rPr>
        <w:t>M</w:t>
      </w:r>
      <w:r w:rsidR="00197AB5" w:rsidRPr="006E255B">
        <w:rPr>
          <w:b/>
        </w:rPr>
        <w:t xml:space="preserve">easuring </w:t>
      </w:r>
      <w:r w:rsidR="00A24728">
        <w:rPr>
          <w:b/>
        </w:rPr>
        <w:t>S</w:t>
      </w:r>
      <w:r w:rsidR="00197AB5" w:rsidRPr="006E255B">
        <w:rPr>
          <w:b/>
        </w:rPr>
        <w:t>uccess</w:t>
      </w:r>
      <w:bookmarkEnd w:id="51"/>
    </w:p>
    <w:p w14:paraId="051E60AD" w14:textId="77777777" w:rsidR="00527D74" w:rsidRPr="006E255B" w:rsidRDefault="00527D74" w:rsidP="00527D74">
      <w:pPr>
        <w:pStyle w:val="BodyText"/>
        <w:tabs>
          <w:tab w:val="num" w:pos="426"/>
        </w:tabs>
        <w:spacing w:after="120"/>
        <w:rPr>
          <w:rFonts w:ascii="Calibri Light" w:eastAsiaTheme="majorEastAsia" w:hAnsi="Calibri Light" w:cs="Calibri Light"/>
          <w:sz w:val="22"/>
          <w:szCs w:val="22"/>
          <w:lang w:eastAsia="en-US"/>
        </w:rPr>
      </w:pPr>
      <w:r w:rsidRPr="006E255B">
        <w:rPr>
          <w:rFonts w:ascii="Calibri Light" w:eastAsiaTheme="majorEastAsia" w:hAnsi="Calibri Light" w:cs="Calibri Light"/>
          <w:sz w:val="22"/>
          <w:szCs w:val="22"/>
          <w:lang w:eastAsia="en-US"/>
        </w:rPr>
        <w:t xml:space="preserve">To accomplish the vision and objectives of </w:t>
      </w:r>
      <w:r w:rsidR="009F03EA">
        <w:rPr>
          <w:rFonts w:ascii="Calibri Light" w:eastAsiaTheme="majorEastAsia" w:hAnsi="Calibri Light" w:cs="Calibri Light"/>
          <w:sz w:val="22"/>
          <w:szCs w:val="22"/>
          <w:lang w:eastAsia="en-US"/>
        </w:rPr>
        <w:t>this</w:t>
      </w:r>
      <w:r w:rsidRPr="006E255B">
        <w:rPr>
          <w:rFonts w:ascii="Calibri Light" w:eastAsiaTheme="majorEastAsia" w:hAnsi="Calibri Light" w:cs="Calibri Light"/>
          <w:sz w:val="22"/>
          <w:szCs w:val="22"/>
          <w:lang w:eastAsia="en-US"/>
        </w:rPr>
        <w:t xml:space="preserve"> Strategy over the next 20 years, </w:t>
      </w:r>
      <w:r w:rsidR="00C85554">
        <w:rPr>
          <w:rFonts w:ascii="Calibri Light" w:eastAsiaTheme="majorEastAsia" w:hAnsi="Calibri Light" w:cs="Calibri Light"/>
          <w:sz w:val="22"/>
          <w:szCs w:val="22"/>
          <w:lang w:eastAsia="en-US"/>
        </w:rPr>
        <w:t xml:space="preserve">a </w:t>
      </w:r>
      <w:r w:rsidRPr="006E255B">
        <w:rPr>
          <w:rFonts w:ascii="Calibri Light" w:eastAsiaTheme="majorEastAsia" w:hAnsi="Calibri Light" w:cs="Calibri Light"/>
          <w:sz w:val="22"/>
          <w:szCs w:val="22"/>
          <w:lang w:eastAsia="en-US"/>
        </w:rPr>
        <w:t xml:space="preserve">clear </w:t>
      </w:r>
      <w:r w:rsidR="00C85554">
        <w:rPr>
          <w:rFonts w:ascii="Calibri Light" w:eastAsiaTheme="majorEastAsia" w:hAnsi="Calibri Light" w:cs="Calibri Light"/>
          <w:sz w:val="22"/>
          <w:szCs w:val="22"/>
          <w:lang w:eastAsia="en-US"/>
        </w:rPr>
        <w:t xml:space="preserve">and interconnected </w:t>
      </w:r>
      <w:r w:rsidR="000A5BD0">
        <w:rPr>
          <w:rFonts w:ascii="Calibri Light" w:eastAsiaTheme="majorEastAsia" w:hAnsi="Calibri Light" w:cs="Calibri Light"/>
          <w:sz w:val="22"/>
          <w:szCs w:val="22"/>
          <w:lang w:eastAsia="en-US"/>
        </w:rPr>
        <w:t>blueprint for action</w:t>
      </w:r>
      <w:r w:rsidRPr="006E255B">
        <w:rPr>
          <w:rFonts w:ascii="Calibri Light" w:eastAsiaTheme="majorEastAsia" w:hAnsi="Calibri Light" w:cs="Calibri Light"/>
          <w:sz w:val="22"/>
          <w:szCs w:val="22"/>
          <w:lang w:eastAsia="en-US"/>
        </w:rPr>
        <w:t xml:space="preserve"> need</w:t>
      </w:r>
      <w:r w:rsidR="000A5BD0">
        <w:rPr>
          <w:rFonts w:ascii="Calibri Light" w:eastAsiaTheme="majorEastAsia" w:hAnsi="Calibri Light" w:cs="Calibri Light"/>
          <w:sz w:val="22"/>
          <w:szCs w:val="22"/>
          <w:lang w:eastAsia="en-US"/>
        </w:rPr>
        <w:t>s</w:t>
      </w:r>
      <w:r w:rsidRPr="006E255B">
        <w:rPr>
          <w:rFonts w:ascii="Calibri Light" w:eastAsiaTheme="majorEastAsia" w:hAnsi="Calibri Light" w:cs="Calibri Light"/>
          <w:sz w:val="22"/>
          <w:szCs w:val="22"/>
          <w:lang w:eastAsia="en-US"/>
        </w:rPr>
        <w:t xml:space="preserve"> to be established, implemented, monitored and evaluated.</w:t>
      </w:r>
    </w:p>
    <w:p w14:paraId="796F7561" w14:textId="49A94122" w:rsidR="00527D74" w:rsidRPr="006E255B" w:rsidRDefault="00303AF1" w:rsidP="00527D74">
      <w:pPr>
        <w:pStyle w:val="BodyText"/>
        <w:tabs>
          <w:tab w:val="num" w:pos="426"/>
        </w:tabs>
        <w:spacing w:after="120"/>
        <w:rPr>
          <w:rFonts w:ascii="Calibri Light" w:eastAsiaTheme="majorEastAsia" w:hAnsi="Calibri Light" w:cs="Calibri Light"/>
          <w:sz w:val="22"/>
          <w:szCs w:val="22"/>
          <w:lang w:eastAsia="en-US"/>
        </w:rPr>
      </w:pPr>
      <w:r>
        <w:rPr>
          <w:rFonts w:ascii="Calibri Light" w:eastAsiaTheme="majorEastAsia" w:hAnsi="Calibri Light" w:cs="Calibri Light"/>
          <w:sz w:val="22"/>
          <w:szCs w:val="22"/>
          <w:lang w:eastAsia="en-US"/>
        </w:rPr>
        <w:t>T</w:t>
      </w:r>
      <w:r w:rsidRPr="00303AF1">
        <w:rPr>
          <w:rFonts w:ascii="Calibri Light" w:eastAsiaTheme="majorEastAsia" w:hAnsi="Calibri Light" w:cs="Calibri Light"/>
          <w:sz w:val="22"/>
          <w:szCs w:val="22"/>
          <w:lang w:eastAsia="en-US"/>
        </w:rPr>
        <w:t xml:space="preserve">ackling </w:t>
      </w:r>
      <w:r>
        <w:rPr>
          <w:rFonts w:ascii="Calibri Light" w:eastAsiaTheme="majorEastAsia" w:hAnsi="Calibri Light" w:cs="Calibri Light"/>
          <w:sz w:val="22"/>
          <w:szCs w:val="22"/>
          <w:lang w:eastAsia="en-US"/>
        </w:rPr>
        <w:t xml:space="preserve">the urgent challenge of </w:t>
      </w:r>
      <w:r w:rsidRPr="00303AF1">
        <w:rPr>
          <w:rFonts w:ascii="Calibri Light" w:eastAsiaTheme="majorEastAsia" w:hAnsi="Calibri Light" w:cs="Calibri Light"/>
          <w:sz w:val="22"/>
          <w:szCs w:val="22"/>
          <w:lang w:eastAsia="en-US"/>
        </w:rPr>
        <w:t xml:space="preserve">antimicrobial resistance in humans, animals, food and the environment </w:t>
      </w:r>
      <w:r w:rsidR="009F03EA">
        <w:rPr>
          <w:rFonts w:ascii="Calibri Light" w:eastAsiaTheme="majorEastAsia" w:hAnsi="Calibri Light" w:cs="Calibri Light"/>
          <w:sz w:val="22"/>
          <w:szCs w:val="22"/>
          <w:lang w:eastAsia="en-US"/>
        </w:rPr>
        <w:t>will</w:t>
      </w:r>
      <w:r w:rsidR="00527D74" w:rsidRPr="006E255B">
        <w:rPr>
          <w:rFonts w:ascii="Calibri Light" w:eastAsiaTheme="majorEastAsia" w:hAnsi="Calibri Light" w:cs="Calibri Light"/>
          <w:sz w:val="22"/>
          <w:szCs w:val="22"/>
          <w:lang w:eastAsia="en-US"/>
        </w:rPr>
        <w:t xml:space="preserve"> require commitment and action from all sectors and stakeholders</w:t>
      </w:r>
      <w:r w:rsidR="001A0239" w:rsidRPr="006E255B">
        <w:rPr>
          <w:rFonts w:ascii="Calibri Light" w:eastAsiaTheme="majorEastAsia" w:hAnsi="Calibri Light" w:cs="Calibri Light"/>
          <w:sz w:val="22"/>
          <w:szCs w:val="22"/>
          <w:lang w:eastAsia="en-US"/>
        </w:rPr>
        <w:t>.</w:t>
      </w:r>
      <w:r w:rsidR="00527D74" w:rsidRPr="006E255B">
        <w:rPr>
          <w:rFonts w:ascii="Calibri Light" w:eastAsiaTheme="majorEastAsia" w:hAnsi="Calibri Light" w:cs="Calibri Light"/>
          <w:sz w:val="22"/>
          <w:szCs w:val="22"/>
          <w:lang w:eastAsia="en-US"/>
        </w:rPr>
        <w:t xml:space="preserve"> </w:t>
      </w:r>
      <w:r w:rsidR="001A0239" w:rsidRPr="006E255B">
        <w:rPr>
          <w:rFonts w:ascii="Calibri Light" w:eastAsiaTheme="majorEastAsia" w:hAnsi="Calibri Light" w:cs="Calibri Light"/>
          <w:sz w:val="22"/>
          <w:szCs w:val="22"/>
          <w:lang w:eastAsia="en-US"/>
        </w:rPr>
        <w:t>A</w:t>
      </w:r>
      <w:r w:rsidR="00527D74" w:rsidRPr="006E255B">
        <w:rPr>
          <w:rFonts w:ascii="Calibri Light" w:eastAsiaTheme="majorEastAsia" w:hAnsi="Calibri Light" w:cs="Calibri Light"/>
          <w:sz w:val="22"/>
          <w:szCs w:val="22"/>
          <w:lang w:eastAsia="en-US"/>
        </w:rPr>
        <w:t>s such</w:t>
      </w:r>
      <w:r w:rsidR="001A0239" w:rsidRPr="006E255B">
        <w:rPr>
          <w:rFonts w:ascii="Calibri Light" w:eastAsiaTheme="majorEastAsia" w:hAnsi="Calibri Light" w:cs="Calibri Light"/>
          <w:sz w:val="22"/>
          <w:szCs w:val="22"/>
          <w:lang w:eastAsia="en-US"/>
        </w:rPr>
        <w:t>,</w:t>
      </w:r>
      <w:r w:rsidR="00527D74" w:rsidRPr="006E255B">
        <w:rPr>
          <w:rFonts w:ascii="Calibri Light" w:eastAsiaTheme="majorEastAsia" w:hAnsi="Calibri Light" w:cs="Calibri Light"/>
          <w:sz w:val="22"/>
          <w:szCs w:val="22"/>
          <w:lang w:eastAsia="en-US"/>
        </w:rPr>
        <w:t xml:space="preserve"> all sectors </w:t>
      </w:r>
      <w:r>
        <w:rPr>
          <w:rFonts w:ascii="Calibri Light" w:eastAsiaTheme="majorEastAsia" w:hAnsi="Calibri Light" w:cs="Calibri Light"/>
          <w:sz w:val="22"/>
          <w:szCs w:val="22"/>
          <w:lang w:eastAsia="en-US"/>
        </w:rPr>
        <w:t xml:space="preserve">need to </w:t>
      </w:r>
      <w:r w:rsidR="00527D74" w:rsidRPr="006E255B">
        <w:rPr>
          <w:rFonts w:ascii="Calibri Light" w:eastAsiaTheme="majorEastAsia" w:hAnsi="Calibri Light" w:cs="Calibri Light"/>
          <w:sz w:val="22"/>
          <w:szCs w:val="22"/>
          <w:lang w:eastAsia="en-US"/>
        </w:rPr>
        <w:t>develop short</w:t>
      </w:r>
      <w:r w:rsidR="00506CE2">
        <w:rPr>
          <w:rFonts w:ascii="Calibri Light" w:eastAsiaTheme="majorEastAsia" w:hAnsi="Calibri Light" w:cs="Calibri Light"/>
          <w:sz w:val="22"/>
          <w:szCs w:val="22"/>
          <w:lang w:eastAsia="en-US"/>
        </w:rPr>
        <w:t>-</w:t>
      </w:r>
      <w:r w:rsidR="00527D74" w:rsidRPr="006E255B">
        <w:rPr>
          <w:rFonts w:ascii="Calibri Light" w:eastAsiaTheme="majorEastAsia" w:hAnsi="Calibri Light" w:cs="Calibri Light"/>
          <w:sz w:val="22"/>
          <w:szCs w:val="22"/>
          <w:lang w:eastAsia="en-US"/>
        </w:rPr>
        <w:t xml:space="preserve"> to medium-term action plans</w:t>
      </w:r>
      <w:r w:rsidR="00E32892">
        <w:rPr>
          <w:rFonts w:ascii="Calibri Light" w:eastAsiaTheme="majorEastAsia" w:hAnsi="Calibri Light" w:cs="Calibri Light"/>
          <w:sz w:val="22"/>
          <w:szCs w:val="22"/>
          <w:lang w:eastAsia="en-US"/>
        </w:rPr>
        <w:t>. Only</w:t>
      </w:r>
      <w:r w:rsidR="00527D74" w:rsidRPr="006E255B">
        <w:rPr>
          <w:rFonts w:ascii="Calibri Light" w:eastAsiaTheme="majorEastAsia" w:hAnsi="Calibri Light" w:cs="Calibri Light"/>
          <w:sz w:val="22"/>
          <w:szCs w:val="22"/>
          <w:lang w:eastAsia="en-US"/>
        </w:rPr>
        <w:t xml:space="preserve"> a </w:t>
      </w:r>
      <w:r w:rsidR="00177BE7" w:rsidRPr="006E255B">
        <w:rPr>
          <w:rFonts w:ascii="Calibri Light" w:eastAsiaTheme="majorEastAsia" w:hAnsi="Calibri Light" w:cs="Calibri Light"/>
          <w:sz w:val="22"/>
          <w:szCs w:val="22"/>
          <w:lang w:eastAsia="en-US"/>
        </w:rPr>
        <w:t>planned</w:t>
      </w:r>
      <w:r w:rsidR="00527D74" w:rsidRPr="006E255B">
        <w:rPr>
          <w:rFonts w:ascii="Calibri Light" w:eastAsiaTheme="majorEastAsia" w:hAnsi="Calibri Light" w:cs="Calibri Light"/>
          <w:sz w:val="22"/>
          <w:szCs w:val="22"/>
          <w:lang w:eastAsia="en-US"/>
        </w:rPr>
        <w:t xml:space="preserve"> approach towards </w:t>
      </w:r>
      <w:r w:rsidR="00E32892">
        <w:rPr>
          <w:rFonts w:ascii="Calibri Light" w:eastAsiaTheme="majorEastAsia" w:hAnsi="Calibri Light" w:cs="Calibri Light"/>
          <w:sz w:val="22"/>
          <w:szCs w:val="22"/>
          <w:lang w:eastAsia="en-US"/>
        </w:rPr>
        <w:t>delivering on</w:t>
      </w:r>
      <w:r w:rsidR="00527D74" w:rsidRPr="006E255B">
        <w:rPr>
          <w:rFonts w:ascii="Calibri Light" w:eastAsiaTheme="majorEastAsia" w:hAnsi="Calibri Light" w:cs="Calibri Light"/>
          <w:sz w:val="22"/>
          <w:szCs w:val="22"/>
          <w:lang w:eastAsia="en-US"/>
        </w:rPr>
        <w:t xml:space="preserve"> the objectives and priority areas for action</w:t>
      </w:r>
      <w:r w:rsidR="00E32892">
        <w:rPr>
          <w:rFonts w:ascii="Calibri Light" w:eastAsiaTheme="majorEastAsia" w:hAnsi="Calibri Light" w:cs="Calibri Light"/>
          <w:sz w:val="22"/>
          <w:szCs w:val="22"/>
          <w:lang w:eastAsia="en-US"/>
        </w:rPr>
        <w:t xml:space="preserve"> can </w:t>
      </w:r>
      <w:r w:rsidR="00924A2A">
        <w:rPr>
          <w:rFonts w:ascii="Calibri Light" w:eastAsiaTheme="majorEastAsia" w:hAnsi="Calibri Light" w:cs="Calibri Light"/>
          <w:sz w:val="22"/>
          <w:szCs w:val="22"/>
          <w:lang w:eastAsia="en-US"/>
        </w:rPr>
        <w:t xml:space="preserve">achieve </w:t>
      </w:r>
      <w:r w:rsidR="00E32892">
        <w:rPr>
          <w:rFonts w:ascii="Calibri Light" w:eastAsiaTheme="majorEastAsia" w:hAnsi="Calibri Light" w:cs="Calibri Light"/>
          <w:sz w:val="22"/>
          <w:szCs w:val="22"/>
          <w:lang w:eastAsia="en-US"/>
        </w:rPr>
        <w:t>success</w:t>
      </w:r>
      <w:r w:rsidR="00527D74" w:rsidRPr="006E255B">
        <w:rPr>
          <w:rFonts w:ascii="Calibri Light" w:eastAsiaTheme="majorEastAsia" w:hAnsi="Calibri Light" w:cs="Calibri Light"/>
          <w:sz w:val="22"/>
          <w:szCs w:val="22"/>
          <w:lang w:eastAsia="en-US"/>
        </w:rPr>
        <w:t>.</w:t>
      </w:r>
      <w:r w:rsidR="008F1ADF" w:rsidRPr="006E255B">
        <w:rPr>
          <w:rFonts w:ascii="Calibri Light" w:eastAsiaTheme="majorEastAsia" w:hAnsi="Calibri Light" w:cs="Calibri Light"/>
          <w:sz w:val="22"/>
          <w:szCs w:val="22"/>
          <w:lang w:eastAsia="en-US"/>
        </w:rPr>
        <w:t xml:space="preserve"> </w:t>
      </w:r>
      <w:r w:rsidR="00527D74" w:rsidRPr="006E255B">
        <w:rPr>
          <w:rFonts w:ascii="Calibri Light" w:eastAsiaTheme="majorEastAsia" w:hAnsi="Calibri Light" w:cs="Calibri Light"/>
          <w:sz w:val="22"/>
          <w:szCs w:val="22"/>
          <w:lang w:eastAsia="en-US"/>
        </w:rPr>
        <w:t xml:space="preserve">While each sector and its stakeholders will be in different stages of their journey in responding to </w:t>
      </w:r>
      <w:r w:rsidR="001A0239" w:rsidRPr="006E255B">
        <w:rPr>
          <w:rFonts w:ascii="Calibri Light" w:eastAsiaTheme="majorEastAsia" w:hAnsi="Calibri Light" w:cs="Calibri Light"/>
          <w:sz w:val="22"/>
          <w:szCs w:val="22"/>
          <w:lang w:eastAsia="en-US"/>
        </w:rPr>
        <w:t>antimicrobial resistance</w:t>
      </w:r>
      <w:r w:rsidR="00527D74" w:rsidRPr="006E255B">
        <w:rPr>
          <w:rFonts w:ascii="Calibri Light" w:eastAsiaTheme="majorEastAsia" w:hAnsi="Calibri Light" w:cs="Calibri Light"/>
          <w:sz w:val="22"/>
          <w:szCs w:val="22"/>
          <w:lang w:eastAsia="en-US"/>
        </w:rPr>
        <w:t xml:space="preserve">, action plans should follow </w:t>
      </w:r>
      <w:r w:rsidR="0040101D">
        <w:rPr>
          <w:rFonts w:ascii="Calibri Light" w:eastAsiaTheme="majorEastAsia" w:hAnsi="Calibri Light" w:cs="Calibri Light"/>
          <w:sz w:val="22"/>
          <w:szCs w:val="22"/>
          <w:lang w:eastAsia="en-US"/>
        </w:rPr>
        <w:t>a</w:t>
      </w:r>
      <w:r w:rsidR="00527D74" w:rsidRPr="006E255B">
        <w:rPr>
          <w:rFonts w:ascii="Calibri Light" w:eastAsiaTheme="majorEastAsia" w:hAnsi="Calibri Light" w:cs="Calibri Light"/>
          <w:sz w:val="22"/>
          <w:szCs w:val="22"/>
          <w:lang w:eastAsia="en-US"/>
        </w:rPr>
        <w:t xml:space="preserve"> set of general </w:t>
      </w:r>
      <w:r w:rsidR="0040101D" w:rsidRPr="006E255B">
        <w:rPr>
          <w:rFonts w:ascii="Calibri Light" w:eastAsiaTheme="majorEastAsia" w:hAnsi="Calibri Light" w:cs="Calibri Light"/>
          <w:sz w:val="22"/>
          <w:szCs w:val="22"/>
          <w:lang w:eastAsia="en-US"/>
        </w:rPr>
        <w:t>principles</w:t>
      </w:r>
      <w:r w:rsidR="00527D74" w:rsidRPr="006E255B">
        <w:rPr>
          <w:rFonts w:ascii="Calibri Light" w:eastAsiaTheme="majorEastAsia" w:hAnsi="Calibri Light" w:cs="Calibri Light"/>
          <w:sz w:val="22"/>
          <w:szCs w:val="22"/>
          <w:lang w:eastAsia="en-US"/>
        </w:rPr>
        <w:t xml:space="preserve">: </w:t>
      </w:r>
    </w:p>
    <w:p w14:paraId="43F714B5" w14:textId="6262EFD2" w:rsidR="001A0239" w:rsidRPr="006E255B" w:rsidRDefault="001A0239" w:rsidP="00456520">
      <w:pPr>
        <w:pStyle w:val="BodyText"/>
        <w:numPr>
          <w:ilvl w:val="0"/>
          <w:numId w:val="18"/>
        </w:numPr>
        <w:spacing w:after="120"/>
        <w:rPr>
          <w:rFonts w:ascii="Calibri Light" w:eastAsiaTheme="majorEastAsia" w:hAnsi="Calibri Light" w:cs="Calibri Light"/>
          <w:sz w:val="22"/>
          <w:szCs w:val="22"/>
          <w:lang w:eastAsia="en-US"/>
        </w:rPr>
      </w:pPr>
      <w:r w:rsidRPr="0040101D">
        <w:rPr>
          <w:rFonts w:ascii="Calibri Light" w:eastAsiaTheme="majorEastAsia" w:hAnsi="Calibri Light" w:cs="Calibri Light"/>
          <w:b/>
          <w:sz w:val="22"/>
          <w:szCs w:val="22"/>
          <w:lang w:eastAsia="en-US"/>
        </w:rPr>
        <w:t>Impactful</w:t>
      </w:r>
      <w:r w:rsidR="0040101D" w:rsidRPr="0040101D">
        <w:rPr>
          <w:rFonts w:ascii="Calibri Light" w:eastAsiaTheme="majorEastAsia" w:hAnsi="Calibri Light" w:cs="Calibri Light"/>
          <w:b/>
          <w:sz w:val="22"/>
          <w:szCs w:val="22"/>
          <w:lang w:eastAsia="en-US"/>
        </w:rPr>
        <w:t>:</w:t>
      </w:r>
      <w:r w:rsidRPr="006E255B">
        <w:rPr>
          <w:rFonts w:ascii="Calibri Light" w:eastAsiaTheme="majorEastAsia" w:hAnsi="Calibri Light" w:cs="Calibri Light"/>
          <w:sz w:val="22"/>
          <w:szCs w:val="22"/>
          <w:lang w:eastAsia="en-US"/>
        </w:rPr>
        <w:t xml:space="preserve"> </w:t>
      </w:r>
      <w:r w:rsidR="007F4427">
        <w:rPr>
          <w:rFonts w:ascii="Calibri Light" w:eastAsiaTheme="majorEastAsia" w:hAnsi="Calibri Light" w:cs="Calibri Light"/>
          <w:sz w:val="22"/>
          <w:szCs w:val="22"/>
          <w:lang w:eastAsia="en-US"/>
        </w:rPr>
        <w:t>I</w:t>
      </w:r>
      <w:r w:rsidRPr="006E255B">
        <w:rPr>
          <w:rFonts w:ascii="Calibri Light" w:eastAsiaTheme="majorEastAsia" w:hAnsi="Calibri Light" w:cs="Calibri Light"/>
          <w:sz w:val="22"/>
          <w:szCs w:val="22"/>
          <w:lang w:eastAsia="en-US"/>
        </w:rPr>
        <w:t>nterventions with the greatest potential to combat antimicrobial resistance</w:t>
      </w:r>
      <w:r w:rsidR="007F4427">
        <w:rPr>
          <w:rFonts w:ascii="Calibri Light" w:eastAsiaTheme="majorEastAsia" w:hAnsi="Calibri Light" w:cs="Calibri Light"/>
          <w:sz w:val="22"/>
          <w:szCs w:val="22"/>
          <w:lang w:eastAsia="en-US"/>
        </w:rPr>
        <w:t xml:space="preserve">, </w:t>
      </w:r>
      <w:r w:rsidR="00D957BF">
        <w:rPr>
          <w:rFonts w:ascii="Calibri Light" w:eastAsiaTheme="majorEastAsia" w:hAnsi="Calibri Light" w:cs="Calibri Light"/>
          <w:sz w:val="22"/>
          <w:szCs w:val="22"/>
          <w:lang w:eastAsia="en-US"/>
        </w:rPr>
        <w:t xml:space="preserve">to </w:t>
      </w:r>
      <w:r w:rsidR="007F4427">
        <w:rPr>
          <w:rFonts w:ascii="Calibri Light" w:eastAsiaTheme="majorEastAsia" w:hAnsi="Calibri Light" w:cs="Calibri Light"/>
          <w:sz w:val="22"/>
          <w:szCs w:val="22"/>
          <w:lang w:eastAsia="en-US"/>
        </w:rPr>
        <w:t xml:space="preserve">reduce </w:t>
      </w:r>
      <w:r w:rsidR="009659AF">
        <w:rPr>
          <w:rFonts w:ascii="Calibri Light" w:eastAsiaTheme="majorEastAsia" w:hAnsi="Calibri Light" w:cs="Calibri Light"/>
          <w:sz w:val="22"/>
          <w:szCs w:val="22"/>
          <w:lang w:eastAsia="en-US"/>
        </w:rPr>
        <w:t xml:space="preserve">inappropriate </w:t>
      </w:r>
      <w:r w:rsidRPr="006E255B">
        <w:rPr>
          <w:rFonts w:ascii="Calibri Light" w:eastAsiaTheme="majorEastAsia" w:hAnsi="Calibri Light" w:cs="Calibri Light"/>
          <w:sz w:val="22"/>
          <w:szCs w:val="22"/>
          <w:lang w:eastAsia="en-US"/>
        </w:rPr>
        <w:t>usage</w:t>
      </w:r>
      <w:r w:rsidR="00D957BF">
        <w:rPr>
          <w:rFonts w:ascii="Calibri Light" w:eastAsiaTheme="majorEastAsia" w:hAnsi="Calibri Light" w:cs="Calibri Light"/>
          <w:sz w:val="22"/>
          <w:szCs w:val="22"/>
          <w:lang w:eastAsia="en-US"/>
        </w:rPr>
        <w:t>,</w:t>
      </w:r>
      <w:r w:rsidRPr="006E255B">
        <w:rPr>
          <w:rFonts w:ascii="Calibri Light" w:eastAsiaTheme="majorEastAsia" w:hAnsi="Calibri Light" w:cs="Calibri Light"/>
          <w:sz w:val="22"/>
          <w:szCs w:val="22"/>
          <w:lang w:eastAsia="en-US"/>
        </w:rPr>
        <w:t xml:space="preserve"> and </w:t>
      </w:r>
      <w:r w:rsidR="007F4427">
        <w:rPr>
          <w:rFonts w:ascii="Calibri Light" w:eastAsiaTheme="majorEastAsia" w:hAnsi="Calibri Light" w:cs="Calibri Light"/>
          <w:sz w:val="22"/>
          <w:szCs w:val="22"/>
          <w:lang w:eastAsia="en-US"/>
        </w:rPr>
        <w:t xml:space="preserve">which </w:t>
      </w:r>
      <w:r w:rsidRPr="006E255B">
        <w:rPr>
          <w:rFonts w:ascii="Calibri Light" w:eastAsiaTheme="majorEastAsia" w:hAnsi="Calibri Light" w:cs="Calibri Light"/>
          <w:sz w:val="22"/>
          <w:szCs w:val="22"/>
          <w:lang w:eastAsia="en-US"/>
        </w:rPr>
        <w:t xml:space="preserve">offer the </w:t>
      </w:r>
      <w:r w:rsidR="007F4427">
        <w:rPr>
          <w:rFonts w:ascii="Calibri Light" w:eastAsiaTheme="majorEastAsia" w:hAnsi="Calibri Light" w:cs="Calibri Light"/>
          <w:sz w:val="22"/>
          <w:szCs w:val="22"/>
          <w:lang w:eastAsia="en-US"/>
        </w:rPr>
        <w:t>best</w:t>
      </w:r>
      <w:r w:rsidRPr="006E255B">
        <w:rPr>
          <w:rFonts w:ascii="Calibri Light" w:eastAsiaTheme="majorEastAsia" w:hAnsi="Calibri Light" w:cs="Calibri Light"/>
          <w:sz w:val="22"/>
          <w:szCs w:val="22"/>
          <w:lang w:eastAsia="en-US"/>
        </w:rPr>
        <w:t xml:space="preserve"> value for money should be prioritised. </w:t>
      </w:r>
      <w:r w:rsidR="00110B90" w:rsidRPr="006E255B">
        <w:rPr>
          <w:rFonts w:ascii="Calibri Light" w:eastAsiaTheme="majorEastAsia" w:hAnsi="Calibri Light" w:cs="Calibri Light"/>
          <w:sz w:val="22"/>
          <w:szCs w:val="22"/>
          <w:lang w:eastAsia="en-US"/>
        </w:rPr>
        <w:t xml:space="preserve">A </w:t>
      </w:r>
      <w:r w:rsidR="007E2029" w:rsidRPr="006E255B">
        <w:rPr>
          <w:rFonts w:ascii="Calibri Light" w:eastAsiaTheme="majorEastAsia" w:hAnsi="Calibri Light" w:cs="Calibri Light"/>
          <w:sz w:val="22"/>
          <w:szCs w:val="22"/>
          <w:lang w:eastAsia="en-US"/>
        </w:rPr>
        <w:t>risk-based</w:t>
      </w:r>
      <w:r w:rsidR="00110B90" w:rsidRPr="006E255B">
        <w:rPr>
          <w:rFonts w:ascii="Calibri Light" w:eastAsiaTheme="majorEastAsia" w:hAnsi="Calibri Light" w:cs="Calibri Light"/>
          <w:sz w:val="22"/>
          <w:szCs w:val="22"/>
          <w:lang w:eastAsia="en-US"/>
        </w:rPr>
        <w:t xml:space="preserve"> approach </w:t>
      </w:r>
      <w:r w:rsidR="00177BE7" w:rsidRPr="006E255B">
        <w:rPr>
          <w:rFonts w:ascii="Calibri Light" w:eastAsiaTheme="majorEastAsia" w:hAnsi="Calibri Light" w:cs="Calibri Light"/>
          <w:sz w:val="22"/>
          <w:szCs w:val="22"/>
          <w:lang w:eastAsia="en-US"/>
        </w:rPr>
        <w:t>could</w:t>
      </w:r>
      <w:r w:rsidR="00110B90" w:rsidRPr="006E255B">
        <w:rPr>
          <w:rFonts w:ascii="Calibri Light" w:eastAsiaTheme="majorEastAsia" w:hAnsi="Calibri Light" w:cs="Calibri Light"/>
          <w:sz w:val="22"/>
          <w:szCs w:val="22"/>
          <w:lang w:eastAsia="en-US"/>
        </w:rPr>
        <w:t xml:space="preserve"> be considered when determining priorities.</w:t>
      </w:r>
    </w:p>
    <w:p w14:paraId="78E23100" w14:textId="77777777" w:rsidR="00527D74" w:rsidRPr="006E255B" w:rsidRDefault="00527D74" w:rsidP="00456520">
      <w:pPr>
        <w:pStyle w:val="BodyText"/>
        <w:numPr>
          <w:ilvl w:val="0"/>
          <w:numId w:val="18"/>
        </w:numPr>
        <w:spacing w:after="120"/>
        <w:rPr>
          <w:rFonts w:ascii="Calibri Light" w:eastAsiaTheme="majorEastAsia" w:hAnsi="Calibri Light" w:cs="Calibri Light"/>
          <w:sz w:val="22"/>
          <w:szCs w:val="22"/>
          <w:lang w:eastAsia="en-US"/>
        </w:rPr>
      </w:pPr>
      <w:r w:rsidRPr="007F4427">
        <w:rPr>
          <w:rFonts w:ascii="Calibri Light" w:eastAsiaTheme="majorEastAsia" w:hAnsi="Calibri Light" w:cs="Calibri Light"/>
          <w:b/>
          <w:sz w:val="22"/>
          <w:szCs w:val="22"/>
          <w:lang w:eastAsia="en-US"/>
        </w:rPr>
        <w:t>Evidence-Based</w:t>
      </w:r>
      <w:r w:rsidR="007F4427" w:rsidRPr="007F4427">
        <w:rPr>
          <w:rFonts w:ascii="Calibri Light" w:eastAsiaTheme="majorEastAsia" w:hAnsi="Calibri Light" w:cs="Calibri Light"/>
          <w:b/>
          <w:sz w:val="22"/>
          <w:szCs w:val="22"/>
          <w:lang w:eastAsia="en-US"/>
        </w:rPr>
        <w:t xml:space="preserve">: </w:t>
      </w:r>
      <w:r w:rsidR="007F4427">
        <w:rPr>
          <w:rFonts w:ascii="Calibri Light" w:eastAsiaTheme="majorEastAsia" w:hAnsi="Calibri Light" w:cs="Calibri Light"/>
          <w:sz w:val="22"/>
          <w:szCs w:val="22"/>
          <w:lang w:eastAsia="en-US"/>
        </w:rPr>
        <w:t>A</w:t>
      </w:r>
      <w:r w:rsidRPr="006E255B">
        <w:rPr>
          <w:rFonts w:ascii="Calibri Light" w:eastAsiaTheme="majorEastAsia" w:hAnsi="Calibri Light" w:cs="Calibri Light"/>
          <w:sz w:val="22"/>
          <w:szCs w:val="22"/>
          <w:lang w:eastAsia="en-US"/>
        </w:rPr>
        <w:t xml:space="preserve">ction plans </w:t>
      </w:r>
      <w:r w:rsidR="00924A2A">
        <w:rPr>
          <w:rFonts w:ascii="Calibri Light" w:eastAsiaTheme="majorEastAsia" w:hAnsi="Calibri Light" w:cs="Calibri Light"/>
          <w:sz w:val="22"/>
          <w:szCs w:val="22"/>
          <w:lang w:eastAsia="en-US"/>
        </w:rPr>
        <w:t>will</w:t>
      </w:r>
      <w:r w:rsidRPr="006E255B">
        <w:rPr>
          <w:rFonts w:ascii="Calibri Light" w:eastAsiaTheme="majorEastAsia" w:hAnsi="Calibri Light" w:cs="Calibri Light"/>
          <w:sz w:val="22"/>
          <w:szCs w:val="22"/>
          <w:lang w:eastAsia="en-US"/>
        </w:rPr>
        <w:t xml:space="preserve"> be based on established research, data and modelling to ensure </w:t>
      </w:r>
      <w:r w:rsidR="007F4427">
        <w:rPr>
          <w:rFonts w:ascii="Calibri Light" w:eastAsiaTheme="majorEastAsia" w:hAnsi="Calibri Light" w:cs="Calibri Light"/>
          <w:sz w:val="22"/>
          <w:szCs w:val="22"/>
          <w:lang w:eastAsia="en-US"/>
        </w:rPr>
        <w:t xml:space="preserve">the highest </w:t>
      </w:r>
      <w:r w:rsidRPr="006E255B">
        <w:rPr>
          <w:rFonts w:ascii="Calibri Light" w:eastAsiaTheme="majorEastAsia" w:hAnsi="Calibri Light" w:cs="Calibri Light"/>
          <w:sz w:val="22"/>
          <w:szCs w:val="22"/>
          <w:lang w:eastAsia="en-US"/>
        </w:rPr>
        <w:t xml:space="preserve">effectiveness </w:t>
      </w:r>
      <w:r w:rsidR="007F4427">
        <w:rPr>
          <w:rFonts w:ascii="Calibri Light" w:eastAsiaTheme="majorEastAsia" w:hAnsi="Calibri Light" w:cs="Calibri Light"/>
          <w:sz w:val="22"/>
          <w:szCs w:val="22"/>
          <w:lang w:eastAsia="en-US"/>
        </w:rPr>
        <w:t>for the lowest cost</w:t>
      </w:r>
      <w:r w:rsidRPr="006E255B">
        <w:rPr>
          <w:rFonts w:ascii="Calibri Light" w:eastAsiaTheme="majorEastAsia" w:hAnsi="Calibri Light" w:cs="Calibri Light"/>
          <w:sz w:val="22"/>
          <w:szCs w:val="22"/>
          <w:lang w:eastAsia="en-US"/>
        </w:rPr>
        <w:t xml:space="preserve">. </w:t>
      </w:r>
    </w:p>
    <w:p w14:paraId="187ED79F" w14:textId="77777777" w:rsidR="00527D74" w:rsidRPr="006E255B" w:rsidRDefault="001A0239" w:rsidP="00456520">
      <w:pPr>
        <w:pStyle w:val="BodyText"/>
        <w:numPr>
          <w:ilvl w:val="0"/>
          <w:numId w:val="18"/>
        </w:numPr>
        <w:spacing w:after="120"/>
        <w:rPr>
          <w:rFonts w:ascii="Calibri Light" w:eastAsiaTheme="majorEastAsia" w:hAnsi="Calibri Light" w:cs="Calibri Light"/>
          <w:sz w:val="22"/>
          <w:szCs w:val="22"/>
          <w:lang w:eastAsia="en-US"/>
        </w:rPr>
      </w:pPr>
      <w:r w:rsidRPr="000F7FBD">
        <w:rPr>
          <w:rFonts w:ascii="Calibri Light" w:eastAsiaTheme="majorEastAsia" w:hAnsi="Calibri Light" w:cs="Calibri Light"/>
          <w:b/>
          <w:bCs/>
          <w:sz w:val="22"/>
          <w:szCs w:val="22"/>
          <w:lang w:eastAsia="en-US"/>
        </w:rPr>
        <w:t xml:space="preserve">Planned </w:t>
      </w:r>
      <w:r w:rsidR="00527D74" w:rsidRPr="000F7FBD">
        <w:rPr>
          <w:rFonts w:ascii="Calibri Light" w:eastAsiaTheme="majorEastAsia" w:hAnsi="Calibri Light" w:cs="Calibri Light"/>
          <w:b/>
          <w:bCs/>
          <w:sz w:val="22"/>
          <w:szCs w:val="22"/>
          <w:lang w:eastAsia="en-US"/>
        </w:rPr>
        <w:t>Approach</w:t>
      </w:r>
      <w:r w:rsidR="000F7FBD" w:rsidRPr="000F7FBD">
        <w:rPr>
          <w:rFonts w:ascii="Calibri Light" w:eastAsiaTheme="majorEastAsia" w:hAnsi="Calibri Light" w:cs="Calibri Light"/>
          <w:b/>
          <w:bCs/>
          <w:sz w:val="22"/>
          <w:szCs w:val="22"/>
          <w:lang w:eastAsia="en-US"/>
        </w:rPr>
        <w:t>:</w:t>
      </w:r>
      <w:r w:rsidR="000F7FBD">
        <w:rPr>
          <w:rFonts w:ascii="Calibri Light" w:eastAsiaTheme="majorEastAsia" w:hAnsi="Calibri Light" w:cs="Calibri Light"/>
          <w:sz w:val="22"/>
          <w:szCs w:val="22"/>
          <w:lang w:eastAsia="en-US"/>
        </w:rPr>
        <w:t xml:space="preserve"> </w:t>
      </w:r>
      <w:r w:rsidR="0049321A">
        <w:rPr>
          <w:rFonts w:ascii="Calibri Light" w:eastAsiaTheme="majorEastAsia" w:hAnsi="Calibri Light" w:cs="Calibri Light"/>
          <w:sz w:val="22"/>
          <w:szCs w:val="22"/>
          <w:lang w:eastAsia="en-US"/>
        </w:rPr>
        <w:t>Comprehensive p</w:t>
      </w:r>
      <w:r w:rsidR="00A50D5C">
        <w:rPr>
          <w:rFonts w:ascii="Calibri Light" w:eastAsiaTheme="majorEastAsia" w:hAnsi="Calibri Light" w:cs="Calibri Light"/>
          <w:sz w:val="22"/>
          <w:szCs w:val="22"/>
          <w:lang w:eastAsia="en-US"/>
        </w:rPr>
        <w:t>lanning</w:t>
      </w:r>
      <w:r w:rsidR="00527D74" w:rsidRPr="006E255B">
        <w:rPr>
          <w:rFonts w:ascii="Calibri Light" w:eastAsiaTheme="majorEastAsia" w:hAnsi="Calibri Light" w:cs="Calibri Light"/>
          <w:sz w:val="22"/>
          <w:szCs w:val="22"/>
          <w:lang w:eastAsia="en-US"/>
        </w:rPr>
        <w:t xml:space="preserve"> will outline the steps required </w:t>
      </w:r>
      <w:r w:rsidR="0049321A">
        <w:rPr>
          <w:rFonts w:ascii="Calibri Light" w:eastAsiaTheme="majorEastAsia" w:hAnsi="Calibri Light" w:cs="Calibri Light"/>
          <w:sz w:val="22"/>
          <w:szCs w:val="22"/>
          <w:lang w:eastAsia="en-US"/>
        </w:rPr>
        <w:t>to</w:t>
      </w:r>
      <w:r w:rsidR="00527D74" w:rsidRPr="006E255B">
        <w:rPr>
          <w:rFonts w:ascii="Calibri Light" w:eastAsiaTheme="majorEastAsia" w:hAnsi="Calibri Light" w:cs="Calibri Light"/>
          <w:sz w:val="22"/>
          <w:szCs w:val="22"/>
          <w:lang w:eastAsia="en-US"/>
        </w:rPr>
        <w:t xml:space="preserve"> reach longer term goals and objectives</w:t>
      </w:r>
      <w:r w:rsidR="0049321A">
        <w:rPr>
          <w:rFonts w:ascii="Calibri Light" w:eastAsiaTheme="majorEastAsia" w:hAnsi="Calibri Light" w:cs="Calibri Light"/>
          <w:sz w:val="22"/>
          <w:szCs w:val="22"/>
          <w:lang w:eastAsia="en-US"/>
        </w:rPr>
        <w:t>,</w:t>
      </w:r>
      <w:r w:rsidR="00527D74" w:rsidRPr="006E255B">
        <w:rPr>
          <w:rFonts w:ascii="Calibri Light" w:eastAsiaTheme="majorEastAsia" w:hAnsi="Calibri Light" w:cs="Calibri Light"/>
          <w:sz w:val="22"/>
          <w:szCs w:val="22"/>
          <w:lang w:eastAsia="en-US"/>
        </w:rPr>
        <w:t xml:space="preserve"> and allow organisations to monitor progress and achievements. </w:t>
      </w:r>
    </w:p>
    <w:p w14:paraId="5522A3BC" w14:textId="77777777" w:rsidR="00527D74" w:rsidRPr="006E255B" w:rsidRDefault="00527D74" w:rsidP="00456520">
      <w:pPr>
        <w:pStyle w:val="BodyText"/>
        <w:numPr>
          <w:ilvl w:val="0"/>
          <w:numId w:val="18"/>
        </w:numPr>
        <w:spacing w:after="120"/>
        <w:rPr>
          <w:rFonts w:ascii="Calibri Light" w:eastAsiaTheme="majorEastAsia" w:hAnsi="Calibri Light" w:cs="Calibri Light"/>
          <w:sz w:val="22"/>
          <w:szCs w:val="22"/>
          <w:lang w:eastAsia="en-US"/>
        </w:rPr>
      </w:pPr>
      <w:r w:rsidRPr="0049321A">
        <w:rPr>
          <w:rFonts w:ascii="Calibri Light" w:eastAsiaTheme="majorEastAsia" w:hAnsi="Calibri Light" w:cs="Calibri Light"/>
          <w:b/>
          <w:sz w:val="22"/>
          <w:szCs w:val="22"/>
          <w:lang w:eastAsia="en-US"/>
        </w:rPr>
        <w:t>Adaptable</w:t>
      </w:r>
      <w:r w:rsidR="0049321A" w:rsidRPr="0049321A">
        <w:rPr>
          <w:rFonts w:ascii="Calibri Light" w:eastAsiaTheme="majorEastAsia" w:hAnsi="Calibri Light" w:cs="Calibri Light"/>
          <w:b/>
          <w:sz w:val="22"/>
          <w:szCs w:val="22"/>
          <w:lang w:eastAsia="en-US"/>
        </w:rPr>
        <w:t xml:space="preserve">: </w:t>
      </w:r>
      <w:r w:rsidR="0049321A">
        <w:rPr>
          <w:rFonts w:ascii="Calibri Light" w:eastAsiaTheme="majorEastAsia" w:hAnsi="Calibri Light" w:cs="Calibri Light"/>
          <w:sz w:val="22"/>
          <w:szCs w:val="22"/>
          <w:lang w:eastAsia="en-US"/>
        </w:rPr>
        <w:t>A</w:t>
      </w:r>
      <w:r w:rsidRPr="006E255B">
        <w:rPr>
          <w:rFonts w:ascii="Calibri Light" w:eastAsiaTheme="majorEastAsia" w:hAnsi="Calibri Light" w:cs="Calibri Light"/>
          <w:sz w:val="22"/>
          <w:szCs w:val="22"/>
          <w:lang w:eastAsia="en-US"/>
        </w:rPr>
        <w:t>s new research</w:t>
      </w:r>
      <w:r w:rsidR="001B114E">
        <w:rPr>
          <w:rFonts w:ascii="Calibri Light" w:eastAsiaTheme="majorEastAsia" w:hAnsi="Calibri Light" w:cs="Calibri Light"/>
          <w:sz w:val="22"/>
          <w:szCs w:val="22"/>
          <w:lang w:eastAsia="en-US"/>
        </w:rPr>
        <w:t xml:space="preserve">, </w:t>
      </w:r>
      <w:r w:rsidRPr="006E255B">
        <w:rPr>
          <w:rFonts w:ascii="Calibri Light" w:eastAsiaTheme="majorEastAsia" w:hAnsi="Calibri Light" w:cs="Calibri Light"/>
          <w:sz w:val="22"/>
          <w:szCs w:val="22"/>
          <w:lang w:eastAsia="en-US"/>
        </w:rPr>
        <w:t xml:space="preserve">data </w:t>
      </w:r>
      <w:r w:rsidR="001B114E">
        <w:rPr>
          <w:rFonts w:ascii="Calibri Light" w:eastAsiaTheme="majorEastAsia" w:hAnsi="Calibri Light" w:cs="Calibri Light"/>
          <w:sz w:val="22"/>
          <w:szCs w:val="22"/>
          <w:lang w:eastAsia="en-US"/>
        </w:rPr>
        <w:t xml:space="preserve">and techniques </w:t>
      </w:r>
      <w:r w:rsidRPr="006E255B">
        <w:rPr>
          <w:rFonts w:ascii="Calibri Light" w:eastAsiaTheme="majorEastAsia" w:hAnsi="Calibri Light" w:cs="Calibri Light"/>
          <w:sz w:val="22"/>
          <w:szCs w:val="22"/>
          <w:lang w:eastAsia="en-US"/>
        </w:rPr>
        <w:t>become available</w:t>
      </w:r>
      <w:r w:rsidR="001B114E">
        <w:rPr>
          <w:rFonts w:ascii="Calibri Light" w:eastAsiaTheme="majorEastAsia" w:hAnsi="Calibri Light" w:cs="Calibri Light"/>
          <w:sz w:val="22"/>
          <w:szCs w:val="22"/>
          <w:lang w:eastAsia="en-US"/>
        </w:rPr>
        <w:t xml:space="preserve">, </w:t>
      </w:r>
      <w:r w:rsidRPr="006E255B">
        <w:rPr>
          <w:rFonts w:ascii="Calibri Light" w:eastAsiaTheme="majorEastAsia" w:hAnsi="Calibri Light" w:cs="Calibri Light"/>
          <w:sz w:val="22"/>
          <w:szCs w:val="22"/>
          <w:lang w:eastAsia="en-US"/>
        </w:rPr>
        <w:t>or national</w:t>
      </w:r>
      <w:r w:rsidR="00924A2A">
        <w:rPr>
          <w:rFonts w:ascii="Calibri Light" w:eastAsiaTheme="majorEastAsia" w:hAnsi="Calibri Light" w:cs="Calibri Light"/>
          <w:sz w:val="22"/>
          <w:szCs w:val="22"/>
          <w:lang w:eastAsia="en-US"/>
        </w:rPr>
        <w:t xml:space="preserve"> (or global)</w:t>
      </w:r>
      <w:r w:rsidRPr="006E255B">
        <w:rPr>
          <w:rFonts w:ascii="Calibri Light" w:eastAsiaTheme="majorEastAsia" w:hAnsi="Calibri Light" w:cs="Calibri Light"/>
          <w:sz w:val="22"/>
          <w:szCs w:val="22"/>
          <w:lang w:eastAsia="en-US"/>
        </w:rPr>
        <w:t xml:space="preserve"> priorities change, action plans should be flexible </w:t>
      </w:r>
      <w:r w:rsidR="001B114E">
        <w:rPr>
          <w:rFonts w:ascii="Calibri Light" w:eastAsiaTheme="majorEastAsia" w:hAnsi="Calibri Light" w:cs="Calibri Light"/>
          <w:sz w:val="22"/>
          <w:szCs w:val="22"/>
          <w:lang w:eastAsia="en-US"/>
        </w:rPr>
        <w:t xml:space="preserve">enough that </w:t>
      </w:r>
      <w:r w:rsidRPr="006E255B">
        <w:rPr>
          <w:rFonts w:ascii="Calibri Light" w:eastAsiaTheme="majorEastAsia" w:hAnsi="Calibri Light" w:cs="Calibri Light"/>
          <w:sz w:val="22"/>
          <w:szCs w:val="22"/>
          <w:lang w:eastAsia="en-US"/>
        </w:rPr>
        <w:t>they can be adapted to incorporate emerging information</w:t>
      </w:r>
      <w:r w:rsidR="001B114E">
        <w:rPr>
          <w:rFonts w:ascii="Calibri Light" w:eastAsiaTheme="majorEastAsia" w:hAnsi="Calibri Light" w:cs="Calibri Light"/>
          <w:sz w:val="22"/>
          <w:szCs w:val="22"/>
          <w:lang w:eastAsia="en-US"/>
        </w:rPr>
        <w:t xml:space="preserve"> and new approaches</w:t>
      </w:r>
      <w:r w:rsidRPr="006E255B">
        <w:rPr>
          <w:rFonts w:ascii="Calibri Light" w:eastAsiaTheme="majorEastAsia" w:hAnsi="Calibri Light" w:cs="Calibri Light"/>
          <w:sz w:val="22"/>
          <w:szCs w:val="22"/>
          <w:lang w:eastAsia="en-US"/>
        </w:rPr>
        <w:t>.</w:t>
      </w:r>
    </w:p>
    <w:p w14:paraId="2CF04D3F" w14:textId="77777777" w:rsidR="00527D74" w:rsidRPr="006E255B" w:rsidRDefault="00527D74" w:rsidP="00456520">
      <w:pPr>
        <w:pStyle w:val="BodyText"/>
        <w:numPr>
          <w:ilvl w:val="0"/>
          <w:numId w:val="18"/>
        </w:numPr>
        <w:spacing w:after="120"/>
        <w:rPr>
          <w:rFonts w:ascii="Calibri Light" w:eastAsiaTheme="majorEastAsia" w:hAnsi="Calibri Light" w:cs="Calibri Light"/>
          <w:sz w:val="22"/>
          <w:szCs w:val="22"/>
          <w:lang w:eastAsia="en-US"/>
        </w:rPr>
      </w:pPr>
      <w:r w:rsidRPr="006E255B">
        <w:rPr>
          <w:rFonts w:ascii="Calibri Light" w:eastAsiaTheme="majorEastAsia" w:hAnsi="Calibri Light" w:cs="Calibri Light"/>
          <w:b/>
          <w:sz w:val="22"/>
          <w:szCs w:val="22"/>
          <w:lang w:eastAsia="en-US"/>
        </w:rPr>
        <w:t>Integrated</w:t>
      </w:r>
      <w:r w:rsidR="00CF6BFD">
        <w:rPr>
          <w:rFonts w:ascii="Calibri Light" w:eastAsiaTheme="majorEastAsia" w:hAnsi="Calibri Light" w:cs="Calibri Light"/>
          <w:b/>
          <w:sz w:val="22"/>
          <w:szCs w:val="22"/>
          <w:lang w:eastAsia="en-US"/>
        </w:rPr>
        <w:t xml:space="preserve">: </w:t>
      </w:r>
      <w:r w:rsidR="007B0B51">
        <w:rPr>
          <w:rFonts w:ascii="Calibri Light" w:eastAsiaTheme="majorEastAsia" w:hAnsi="Calibri Light" w:cs="Calibri Light"/>
          <w:sz w:val="22"/>
          <w:szCs w:val="22"/>
          <w:lang w:eastAsia="en-US"/>
        </w:rPr>
        <w:t xml:space="preserve">Sectors should work collaboratively wherever possible, sharing information and resources, to </w:t>
      </w:r>
      <w:r w:rsidRPr="006E255B">
        <w:rPr>
          <w:rFonts w:ascii="Calibri Light" w:eastAsiaTheme="majorEastAsia" w:hAnsi="Calibri Light" w:cs="Calibri Light"/>
          <w:sz w:val="22"/>
          <w:szCs w:val="22"/>
          <w:lang w:eastAsia="en-US"/>
        </w:rPr>
        <w:t>reduce the risk of duplication of effort</w:t>
      </w:r>
      <w:r w:rsidR="007B0B51">
        <w:rPr>
          <w:rFonts w:ascii="Calibri Light" w:eastAsiaTheme="majorEastAsia" w:hAnsi="Calibri Light" w:cs="Calibri Light"/>
          <w:sz w:val="22"/>
          <w:szCs w:val="22"/>
          <w:lang w:eastAsia="en-US"/>
        </w:rPr>
        <w:t>.</w:t>
      </w:r>
    </w:p>
    <w:p w14:paraId="19D03D96" w14:textId="77777777" w:rsidR="00527D74" w:rsidRPr="006E255B" w:rsidRDefault="00756B39" w:rsidP="00456520">
      <w:pPr>
        <w:pStyle w:val="BodyText"/>
        <w:numPr>
          <w:ilvl w:val="0"/>
          <w:numId w:val="18"/>
        </w:numPr>
        <w:spacing w:after="120"/>
        <w:rPr>
          <w:rFonts w:ascii="Calibri Light" w:eastAsiaTheme="majorEastAsia" w:hAnsi="Calibri Light" w:cs="Calibri Light"/>
          <w:sz w:val="22"/>
          <w:szCs w:val="22"/>
          <w:lang w:eastAsia="en-US"/>
        </w:rPr>
      </w:pPr>
      <w:r w:rsidRPr="00F25A46">
        <w:rPr>
          <w:rFonts w:ascii="Calibri Light" w:eastAsiaTheme="majorEastAsia" w:hAnsi="Calibri Light" w:cs="Calibri Light"/>
          <w:b/>
          <w:sz w:val="22"/>
          <w:szCs w:val="22"/>
          <w:lang w:eastAsia="en-US"/>
        </w:rPr>
        <w:t>Measurable</w:t>
      </w:r>
      <w:r w:rsidR="00F25A46" w:rsidRPr="00F25A46">
        <w:rPr>
          <w:rFonts w:ascii="Calibri Light" w:eastAsiaTheme="majorEastAsia" w:hAnsi="Calibri Light" w:cs="Calibri Light"/>
          <w:b/>
          <w:sz w:val="22"/>
          <w:szCs w:val="22"/>
          <w:lang w:eastAsia="en-US"/>
        </w:rPr>
        <w:t>:</w:t>
      </w:r>
      <w:r w:rsidR="00F25A46">
        <w:rPr>
          <w:rFonts w:ascii="Calibri Light" w:eastAsiaTheme="majorEastAsia" w:hAnsi="Calibri Light" w:cs="Calibri Light"/>
          <w:sz w:val="22"/>
          <w:szCs w:val="22"/>
          <w:lang w:eastAsia="en-US"/>
        </w:rPr>
        <w:t xml:space="preserve"> </w:t>
      </w:r>
      <w:r w:rsidR="00527D74" w:rsidRPr="006E255B">
        <w:rPr>
          <w:rFonts w:ascii="Calibri Light" w:eastAsiaTheme="majorEastAsia" w:hAnsi="Calibri Light" w:cs="Calibri Light"/>
          <w:sz w:val="22"/>
          <w:szCs w:val="22"/>
          <w:lang w:eastAsia="en-US"/>
        </w:rPr>
        <w:t>Action plans should</w:t>
      </w:r>
      <w:r w:rsidR="007B0B51">
        <w:rPr>
          <w:rFonts w:ascii="Calibri Light" w:eastAsiaTheme="majorEastAsia" w:hAnsi="Calibri Light" w:cs="Calibri Light"/>
          <w:sz w:val="22"/>
          <w:szCs w:val="22"/>
          <w:lang w:eastAsia="en-US"/>
        </w:rPr>
        <w:t xml:space="preserve"> set clear targets and timeframes, to ena</w:t>
      </w:r>
      <w:r w:rsidR="00E007FC">
        <w:rPr>
          <w:rFonts w:ascii="Calibri Light" w:eastAsiaTheme="majorEastAsia" w:hAnsi="Calibri Light" w:cs="Calibri Light"/>
          <w:sz w:val="22"/>
          <w:szCs w:val="22"/>
          <w:lang w:eastAsia="en-US"/>
        </w:rPr>
        <w:t>b</w:t>
      </w:r>
      <w:r w:rsidR="007B0B51">
        <w:rPr>
          <w:rFonts w:ascii="Calibri Light" w:eastAsiaTheme="majorEastAsia" w:hAnsi="Calibri Light" w:cs="Calibri Light"/>
          <w:sz w:val="22"/>
          <w:szCs w:val="22"/>
          <w:lang w:eastAsia="en-US"/>
        </w:rPr>
        <w:t>le progress to be tracked and appropriate action taken to address delays or other impediments.</w:t>
      </w:r>
      <w:r w:rsidR="000024CA" w:rsidRPr="006E255B">
        <w:rPr>
          <w:rFonts w:ascii="Calibri Light" w:eastAsiaTheme="majorEastAsia" w:hAnsi="Calibri Light" w:cs="Calibri Light"/>
          <w:sz w:val="22"/>
          <w:szCs w:val="22"/>
          <w:lang w:eastAsia="en-US"/>
        </w:rPr>
        <w:t xml:space="preserve"> </w:t>
      </w:r>
    </w:p>
    <w:p w14:paraId="64D752D8" w14:textId="1102FB19" w:rsidR="00527D74" w:rsidRPr="006E255B" w:rsidRDefault="00CC5033" w:rsidP="00527D74">
      <w:pPr>
        <w:pStyle w:val="BodyText"/>
        <w:tabs>
          <w:tab w:val="num" w:pos="426"/>
        </w:tabs>
        <w:spacing w:after="120"/>
        <w:rPr>
          <w:rFonts w:ascii="Calibri Light" w:eastAsiaTheme="majorEastAsia" w:hAnsi="Calibri Light" w:cs="Calibri Light"/>
          <w:sz w:val="22"/>
          <w:szCs w:val="22"/>
          <w:lang w:eastAsia="en-US"/>
        </w:rPr>
      </w:pPr>
      <w:r>
        <w:rPr>
          <w:rFonts w:ascii="Calibri Light" w:eastAsiaTheme="majorEastAsia" w:hAnsi="Calibri Light" w:cs="Calibri Light"/>
          <w:sz w:val="22"/>
          <w:szCs w:val="22"/>
          <w:lang w:eastAsia="en-US"/>
        </w:rPr>
        <w:t>In addition to these principles,</w:t>
      </w:r>
      <w:r w:rsidR="0001659E" w:rsidRPr="006E255B">
        <w:rPr>
          <w:rFonts w:ascii="Calibri Light" w:eastAsiaTheme="majorEastAsia" w:hAnsi="Calibri Light" w:cs="Calibri Light"/>
          <w:sz w:val="22"/>
          <w:szCs w:val="22"/>
          <w:lang w:eastAsia="en-US"/>
        </w:rPr>
        <w:t xml:space="preserve"> the Tripartite agencie</w:t>
      </w:r>
      <w:r w:rsidR="007C5656">
        <w:rPr>
          <w:rFonts w:ascii="Calibri Light" w:eastAsiaTheme="majorEastAsia" w:hAnsi="Calibri Light" w:cs="Calibri Light"/>
          <w:sz w:val="22"/>
          <w:szCs w:val="22"/>
          <w:lang w:eastAsia="en-US"/>
        </w:rPr>
        <w:t>s</w:t>
      </w:r>
      <w:r w:rsidR="00D957BF">
        <w:rPr>
          <w:rFonts w:ascii="Calibri Light" w:eastAsiaTheme="majorEastAsia" w:hAnsi="Calibri Light" w:cs="Calibri Light"/>
          <w:sz w:val="22"/>
          <w:szCs w:val="22"/>
          <w:lang w:eastAsia="en-US"/>
        </w:rPr>
        <w:t xml:space="preserve"> (</w:t>
      </w:r>
      <w:r w:rsidR="006A0244">
        <w:rPr>
          <w:rFonts w:ascii="Calibri Light" w:eastAsiaTheme="majorEastAsia" w:hAnsi="Calibri Light" w:cs="Calibri Light"/>
          <w:sz w:val="22"/>
          <w:szCs w:val="22"/>
          <w:lang w:eastAsia="en-US"/>
        </w:rPr>
        <w:t xml:space="preserve">the </w:t>
      </w:r>
      <w:r w:rsidR="007C5656" w:rsidRPr="007C5656">
        <w:rPr>
          <w:rFonts w:ascii="Calibri Light" w:eastAsiaTheme="majorEastAsia" w:hAnsi="Calibri Light" w:cs="Calibri Light"/>
          <w:sz w:val="22"/>
          <w:szCs w:val="22"/>
          <w:lang w:eastAsia="en-US"/>
        </w:rPr>
        <w:t>World Health Organi</w:t>
      </w:r>
      <w:r w:rsidR="00536939">
        <w:rPr>
          <w:rFonts w:ascii="Calibri Light" w:eastAsiaTheme="majorEastAsia" w:hAnsi="Calibri Light" w:cs="Calibri Light"/>
          <w:sz w:val="22"/>
          <w:szCs w:val="22"/>
          <w:lang w:eastAsia="en-US"/>
        </w:rPr>
        <w:t>z</w:t>
      </w:r>
      <w:r w:rsidR="007C5656" w:rsidRPr="007C5656">
        <w:rPr>
          <w:rFonts w:ascii="Calibri Light" w:eastAsiaTheme="majorEastAsia" w:hAnsi="Calibri Light" w:cs="Calibri Light"/>
          <w:sz w:val="22"/>
          <w:szCs w:val="22"/>
          <w:lang w:eastAsia="en-US"/>
        </w:rPr>
        <w:t>ation, the Food and Agriculture Organi</w:t>
      </w:r>
      <w:r w:rsidR="00536939">
        <w:rPr>
          <w:rFonts w:ascii="Calibri Light" w:eastAsiaTheme="majorEastAsia" w:hAnsi="Calibri Light" w:cs="Calibri Light"/>
          <w:sz w:val="22"/>
          <w:szCs w:val="22"/>
          <w:lang w:eastAsia="en-US"/>
        </w:rPr>
        <w:t>z</w:t>
      </w:r>
      <w:r w:rsidR="007C5656" w:rsidRPr="007C5656">
        <w:rPr>
          <w:rFonts w:ascii="Calibri Light" w:eastAsiaTheme="majorEastAsia" w:hAnsi="Calibri Light" w:cs="Calibri Light"/>
          <w:sz w:val="22"/>
          <w:szCs w:val="22"/>
          <w:lang w:eastAsia="en-US"/>
        </w:rPr>
        <w:t>ation</w:t>
      </w:r>
      <w:r w:rsidR="000F6574">
        <w:rPr>
          <w:rFonts w:ascii="Calibri Light" w:eastAsiaTheme="majorEastAsia" w:hAnsi="Calibri Light" w:cs="Calibri Light"/>
          <w:sz w:val="22"/>
          <w:szCs w:val="22"/>
          <w:lang w:eastAsia="en-US"/>
        </w:rPr>
        <w:t xml:space="preserve"> </w:t>
      </w:r>
      <w:r w:rsidR="007C5656" w:rsidRPr="007C5656">
        <w:rPr>
          <w:rFonts w:ascii="Calibri Light" w:eastAsiaTheme="majorEastAsia" w:hAnsi="Calibri Light" w:cs="Calibri Light"/>
          <w:sz w:val="22"/>
          <w:szCs w:val="22"/>
          <w:lang w:eastAsia="en-US"/>
        </w:rPr>
        <w:t>and the World Organi</w:t>
      </w:r>
      <w:r w:rsidR="007B7001">
        <w:rPr>
          <w:rFonts w:ascii="Calibri Light" w:eastAsiaTheme="majorEastAsia" w:hAnsi="Calibri Light" w:cs="Calibri Light"/>
          <w:sz w:val="22"/>
          <w:szCs w:val="22"/>
          <w:lang w:eastAsia="en-US"/>
        </w:rPr>
        <w:t>s</w:t>
      </w:r>
      <w:r w:rsidR="007C5656" w:rsidRPr="007C5656">
        <w:rPr>
          <w:rFonts w:ascii="Calibri Light" w:eastAsiaTheme="majorEastAsia" w:hAnsi="Calibri Light" w:cs="Calibri Light"/>
          <w:sz w:val="22"/>
          <w:szCs w:val="22"/>
          <w:lang w:eastAsia="en-US"/>
        </w:rPr>
        <w:t>ation for Animal Health</w:t>
      </w:r>
      <w:r w:rsidR="00D957BF">
        <w:rPr>
          <w:rFonts w:ascii="Calibri Light" w:eastAsiaTheme="majorEastAsia" w:hAnsi="Calibri Light" w:cs="Calibri Light"/>
          <w:sz w:val="22"/>
          <w:szCs w:val="22"/>
          <w:lang w:eastAsia="en-US"/>
        </w:rPr>
        <w:t xml:space="preserve">) </w:t>
      </w:r>
      <w:r>
        <w:rPr>
          <w:rFonts w:ascii="Calibri Light" w:eastAsiaTheme="majorEastAsia" w:hAnsi="Calibri Light" w:cs="Calibri Light"/>
          <w:sz w:val="22"/>
          <w:szCs w:val="22"/>
          <w:lang w:eastAsia="en-US"/>
        </w:rPr>
        <w:t xml:space="preserve">have developed </w:t>
      </w:r>
      <w:r w:rsidRPr="005D2DC8">
        <w:rPr>
          <w:rFonts w:ascii="Calibri Light" w:eastAsiaTheme="majorEastAsia" w:hAnsi="Calibri Light" w:cs="Calibri Light"/>
          <w:sz w:val="22"/>
          <w:szCs w:val="22"/>
          <w:lang w:eastAsia="en-US"/>
        </w:rPr>
        <w:t>a manual and other shared resources</w:t>
      </w:r>
      <w:r>
        <w:rPr>
          <w:rFonts w:ascii="Calibri Light" w:eastAsiaTheme="majorEastAsia" w:hAnsi="Calibri Light" w:cs="Calibri Light"/>
          <w:sz w:val="22"/>
          <w:szCs w:val="22"/>
          <w:lang w:eastAsia="en-US"/>
        </w:rPr>
        <w:t xml:space="preserve"> for developing action plans which can then be monitored and evaluated.</w:t>
      </w:r>
      <w:r w:rsidR="005D2DC8">
        <w:rPr>
          <w:rStyle w:val="FootnoteReference"/>
          <w:rFonts w:ascii="Calibri Light" w:eastAsiaTheme="majorEastAsia" w:hAnsi="Calibri Light" w:cs="Calibri Light"/>
          <w:sz w:val="22"/>
          <w:szCs w:val="22"/>
          <w:lang w:eastAsia="en-US"/>
        </w:rPr>
        <w:footnoteReference w:id="2"/>
      </w:r>
      <w:r w:rsidR="00B22770" w:rsidRPr="007C5656">
        <w:rPr>
          <w:rFonts w:ascii="Calibri Light" w:eastAsiaTheme="majorEastAsia" w:hAnsi="Calibri Light" w:cs="Calibri Light"/>
          <w:sz w:val="22"/>
          <w:szCs w:val="22"/>
          <w:lang w:eastAsia="en-US"/>
        </w:rPr>
        <w:t xml:space="preserve"> </w:t>
      </w:r>
      <w:r>
        <w:rPr>
          <w:rFonts w:ascii="Calibri Light" w:eastAsiaTheme="majorEastAsia" w:hAnsi="Calibri Light" w:cs="Calibri Light"/>
          <w:sz w:val="22"/>
          <w:szCs w:val="22"/>
          <w:lang w:eastAsia="en-US"/>
        </w:rPr>
        <w:t>These</w:t>
      </w:r>
      <w:r w:rsidR="00527D74" w:rsidRPr="006E255B">
        <w:rPr>
          <w:rFonts w:ascii="Calibri Light" w:eastAsiaTheme="majorEastAsia" w:hAnsi="Calibri Light" w:cs="Calibri Light"/>
          <w:sz w:val="22"/>
          <w:szCs w:val="22"/>
          <w:lang w:eastAsia="en-US"/>
        </w:rPr>
        <w:t xml:space="preserve"> </w:t>
      </w:r>
      <w:r>
        <w:rPr>
          <w:rFonts w:ascii="Calibri Light" w:eastAsiaTheme="majorEastAsia" w:hAnsi="Calibri Light" w:cs="Calibri Light"/>
          <w:sz w:val="22"/>
          <w:szCs w:val="22"/>
          <w:lang w:eastAsia="en-US"/>
        </w:rPr>
        <w:t>are useful r</w:t>
      </w:r>
      <w:r w:rsidR="00527D74" w:rsidRPr="006E255B">
        <w:rPr>
          <w:rFonts w:ascii="Calibri Light" w:eastAsiaTheme="majorEastAsia" w:hAnsi="Calibri Light" w:cs="Calibri Light"/>
          <w:sz w:val="22"/>
          <w:szCs w:val="22"/>
          <w:lang w:eastAsia="en-US"/>
        </w:rPr>
        <w:t>esource</w:t>
      </w:r>
      <w:r>
        <w:rPr>
          <w:rFonts w:ascii="Calibri Light" w:eastAsiaTheme="majorEastAsia" w:hAnsi="Calibri Light" w:cs="Calibri Light"/>
          <w:sz w:val="22"/>
          <w:szCs w:val="22"/>
          <w:lang w:eastAsia="en-US"/>
        </w:rPr>
        <w:t>s</w:t>
      </w:r>
      <w:r w:rsidR="00527D74" w:rsidRPr="006E255B">
        <w:rPr>
          <w:rFonts w:ascii="Calibri Light" w:eastAsiaTheme="majorEastAsia" w:hAnsi="Calibri Light" w:cs="Calibri Light"/>
          <w:sz w:val="22"/>
          <w:szCs w:val="22"/>
          <w:lang w:eastAsia="en-US"/>
        </w:rPr>
        <w:t xml:space="preserve"> for sectors and industry in developing </w:t>
      </w:r>
      <w:r w:rsidR="00222D41">
        <w:rPr>
          <w:rFonts w:ascii="Calibri Light" w:eastAsiaTheme="majorEastAsia" w:hAnsi="Calibri Light" w:cs="Calibri Light"/>
          <w:sz w:val="22"/>
          <w:szCs w:val="22"/>
          <w:lang w:eastAsia="en-US"/>
        </w:rPr>
        <w:t xml:space="preserve">their own </w:t>
      </w:r>
      <w:r w:rsidR="00527D74" w:rsidRPr="006E255B">
        <w:rPr>
          <w:rFonts w:ascii="Calibri Light" w:eastAsiaTheme="majorEastAsia" w:hAnsi="Calibri Light" w:cs="Calibri Light"/>
          <w:sz w:val="22"/>
          <w:szCs w:val="22"/>
          <w:lang w:eastAsia="en-US"/>
        </w:rPr>
        <w:t xml:space="preserve">action plans. </w:t>
      </w:r>
    </w:p>
    <w:p w14:paraId="339220E1" w14:textId="77777777" w:rsidR="00D07154" w:rsidRPr="006E255B" w:rsidRDefault="00D07154" w:rsidP="00D07154">
      <w:pPr>
        <w:spacing w:after="120" w:line="240" w:lineRule="auto"/>
        <w:rPr>
          <w:i/>
        </w:rPr>
      </w:pPr>
    </w:p>
    <w:p w14:paraId="08042D9C" w14:textId="77777777" w:rsidR="008C2C79" w:rsidRPr="006E255B" w:rsidRDefault="008C2C79">
      <w:pPr>
        <w:rPr>
          <w:b/>
          <w:smallCaps/>
          <w:spacing w:val="5"/>
          <w:sz w:val="36"/>
          <w:szCs w:val="36"/>
        </w:rPr>
      </w:pPr>
      <w:r w:rsidRPr="006E255B">
        <w:rPr>
          <w:b/>
        </w:rPr>
        <w:br w:type="page"/>
      </w:r>
    </w:p>
    <w:p w14:paraId="2356734B" w14:textId="77777777" w:rsidR="00877591" w:rsidRPr="006E255B" w:rsidRDefault="00877591" w:rsidP="00930229">
      <w:pPr>
        <w:pStyle w:val="Heading1"/>
        <w:spacing w:before="0" w:after="120" w:line="240" w:lineRule="auto"/>
        <w:contextualSpacing w:val="0"/>
        <w:rPr>
          <w:b/>
        </w:rPr>
      </w:pPr>
      <w:bookmarkStart w:id="52" w:name="_Toc18311695"/>
      <w:r w:rsidRPr="006E255B">
        <w:rPr>
          <w:b/>
        </w:rPr>
        <w:lastRenderedPageBreak/>
        <w:t>Working Together as One Health</w:t>
      </w:r>
      <w:bookmarkEnd w:id="52"/>
    </w:p>
    <w:p w14:paraId="4691D1DF" w14:textId="77777777" w:rsidR="002A68FB" w:rsidRPr="006E255B" w:rsidRDefault="00B9049F" w:rsidP="00930229">
      <w:pPr>
        <w:spacing w:after="120" w:line="240" w:lineRule="auto"/>
        <w:rPr>
          <w:rFonts w:ascii="Calibri Light" w:hAnsi="Calibri Light" w:cs="Calibri Light"/>
        </w:rPr>
      </w:pPr>
      <w:r>
        <w:rPr>
          <w:rFonts w:ascii="Calibri Light" w:hAnsi="Calibri Light" w:cs="Calibri Light"/>
        </w:rPr>
        <w:t>A</w:t>
      </w:r>
      <w:r w:rsidRPr="00303AF1">
        <w:rPr>
          <w:rFonts w:ascii="Calibri Light" w:hAnsi="Calibri Light" w:cs="Calibri Light"/>
        </w:rPr>
        <w:t xml:space="preserve">ntimicrobial resistance </w:t>
      </w:r>
      <w:r w:rsidR="00877591" w:rsidRPr="006E255B">
        <w:rPr>
          <w:rFonts w:ascii="Calibri Light" w:hAnsi="Calibri Light" w:cs="Calibri Light"/>
        </w:rPr>
        <w:t xml:space="preserve">is one of the most complex public health threats the world has </w:t>
      </w:r>
      <w:r>
        <w:rPr>
          <w:rFonts w:ascii="Calibri Light" w:hAnsi="Calibri Light" w:cs="Calibri Light"/>
        </w:rPr>
        <w:t xml:space="preserve">ever </w:t>
      </w:r>
      <w:r w:rsidR="00877591" w:rsidRPr="006E255B">
        <w:rPr>
          <w:rFonts w:ascii="Calibri Light" w:hAnsi="Calibri Light" w:cs="Calibri Light"/>
        </w:rPr>
        <w:t>faced</w:t>
      </w:r>
      <w:r w:rsidR="007C15E3">
        <w:rPr>
          <w:rFonts w:ascii="Calibri Light" w:hAnsi="Calibri Light" w:cs="Calibri Light"/>
        </w:rPr>
        <w:t>: i</w:t>
      </w:r>
      <w:r w:rsidRPr="006E255B">
        <w:rPr>
          <w:rFonts w:ascii="Calibri Light" w:hAnsi="Calibri Light" w:cs="Calibri Light"/>
        </w:rPr>
        <w:t>ts</w:t>
      </w:r>
      <w:r w:rsidR="00877591" w:rsidRPr="006E255B">
        <w:rPr>
          <w:rFonts w:ascii="Calibri Light" w:hAnsi="Calibri Light" w:cs="Calibri Light"/>
        </w:rPr>
        <w:t xml:space="preserve"> potential implications range from economic, human and animal health, food safety and agriculture to environment and trade.</w:t>
      </w:r>
      <w:r w:rsidR="002A68FB" w:rsidRPr="006E255B">
        <w:rPr>
          <w:rFonts w:ascii="Calibri Light" w:hAnsi="Calibri Light" w:cs="Calibri Light"/>
        </w:rPr>
        <w:t xml:space="preserve"> The success of </w:t>
      </w:r>
      <w:r w:rsidR="007C15E3">
        <w:rPr>
          <w:rFonts w:ascii="Calibri Light" w:hAnsi="Calibri Light" w:cs="Calibri Light"/>
        </w:rPr>
        <w:t>this</w:t>
      </w:r>
      <w:r w:rsidR="002A68FB" w:rsidRPr="006E255B">
        <w:rPr>
          <w:rFonts w:ascii="Calibri Light" w:hAnsi="Calibri Light" w:cs="Calibri Light"/>
        </w:rPr>
        <w:t xml:space="preserve"> Strategy will depend on </w:t>
      </w:r>
      <w:r w:rsidR="007C15E3">
        <w:rPr>
          <w:rFonts w:ascii="Calibri Light" w:hAnsi="Calibri Light" w:cs="Calibri Light"/>
        </w:rPr>
        <w:t>all parties</w:t>
      </w:r>
      <w:r w:rsidR="002A68FB" w:rsidRPr="006E255B">
        <w:rPr>
          <w:rFonts w:ascii="Calibri Light" w:hAnsi="Calibri Light" w:cs="Calibri Light"/>
        </w:rPr>
        <w:t xml:space="preserve"> working together.</w:t>
      </w:r>
    </w:p>
    <w:p w14:paraId="632D38BE" w14:textId="77777777" w:rsidR="00E20A69" w:rsidRPr="006E255B" w:rsidRDefault="00571237" w:rsidP="00930229">
      <w:pPr>
        <w:spacing w:after="120" w:line="240" w:lineRule="auto"/>
        <w:rPr>
          <w:rFonts w:ascii="Calibri Light" w:hAnsi="Calibri Light" w:cs="Calibri Light"/>
        </w:rPr>
      </w:pPr>
      <w:r w:rsidRPr="006E255B">
        <w:rPr>
          <w:rFonts w:ascii="Calibri Light" w:hAnsi="Calibri Light" w:cs="Calibri Light"/>
        </w:rPr>
        <w:t>Under th</w:t>
      </w:r>
      <w:r w:rsidR="002A68FB" w:rsidRPr="006E255B">
        <w:rPr>
          <w:rFonts w:ascii="Calibri Light" w:hAnsi="Calibri Light" w:cs="Calibri Light"/>
        </w:rPr>
        <w:t>is</w:t>
      </w:r>
      <w:r w:rsidRPr="006E255B">
        <w:rPr>
          <w:rFonts w:ascii="Calibri Light" w:hAnsi="Calibri Light" w:cs="Calibri Light"/>
        </w:rPr>
        <w:t xml:space="preserve"> Strategy, </w:t>
      </w:r>
      <w:r w:rsidR="002A68FB" w:rsidRPr="006E255B">
        <w:rPr>
          <w:rFonts w:ascii="Calibri Light" w:hAnsi="Calibri Light" w:cs="Calibri Light"/>
        </w:rPr>
        <w:t>the Australian Government will continue to lead Australia</w:t>
      </w:r>
      <w:r w:rsidR="000D6475">
        <w:rPr>
          <w:rFonts w:ascii="Calibri Light" w:hAnsi="Calibri Light" w:cs="Calibri Light"/>
        </w:rPr>
        <w:t>’</w:t>
      </w:r>
      <w:r w:rsidR="002A68FB" w:rsidRPr="006E255B">
        <w:rPr>
          <w:rFonts w:ascii="Calibri Light" w:hAnsi="Calibri Light" w:cs="Calibri Light"/>
        </w:rPr>
        <w:t xml:space="preserve">s response to </w:t>
      </w:r>
      <w:r w:rsidR="003F6B3C">
        <w:rPr>
          <w:rFonts w:ascii="Calibri Light" w:hAnsi="Calibri Light" w:cs="Calibri Light"/>
        </w:rPr>
        <w:t>a</w:t>
      </w:r>
      <w:r w:rsidR="003F6B3C" w:rsidRPr="00303AF1">
        <w:rPr>
          <w:rFonts w:ascii="Calibri Light" w:hAnsi="Calibri Light" w:cs="Calibri Light"/>
        </w:rPr>
        <w:t>ntimicrobial resistance</w:t>
      </w:r>
      <w:r w:rsidR="002A68FB" w:rsidRPr="006E255B">
        <w:rPr>
          <w:rFonts w:ascii="Calibri Light" w:hAnsi="Calibri Light" w:cs="Calibri Light"/>
        </w:rPr>
        <w:t xml:space="preserve">.  However, </w:t>
      </w:r>
      <w:r w:rsidRPr="006E255B">
        <w:rPr>
          <w:rFonts w:ascii="Calibri Light" w:hAnsi="Calibri Light" w:cs="Calibri Light"/>
        </w:rPr>
        <w:t>everyone</w:t>
      </w:r>
      <w:r w:rsidR="002A68FB" w:rsidRPr="006E255B">
        <w:rPr>
          <w:rFonts w:ascii="Calibri Light" w:hAnsi="Calibri Light" w:cs="Calibri Light"/>
        </w:rPr>
        <w:t xml:space="preserve"> </w:t>
      </w:r>
      <w:r w:rsidRPr="006E255B">
        <w:rPr>
          <w:rFonts w:ascii="Calibri Light" w:hAnsi="Calibri Light" w:cs="Calibri Light"/>
        </w:rPr>
        <w:t xml:space="preserve">has a role to play in a coordinated manner across </w:t>
      </w:r>
      <w:r w:rsidR="00D17C1F" w:rsidRPr="006E255B">
        <w:rPr>
          <w:rFonts w:ascii="Calibri Light" w:hAnsi="Calibri Light" w:cs="Calibri Light"/>
        </w:rPr>
        <w:t>the public and</w:t>
      </w:r>
      <w:r w:rsidR="002A68FB" w:rsidRPr="006E255B">
        <w:rPr>
          <w:rFonts w:ascii="Calibri Light" w:hAnsi="Calibri Light" w:cs="Calibri Light"/>
        </w:rPr>
        <w:t xml:space="preserve"> private sector</w:t>
      </w:r>
      <w:r w:rsidR="00D17C1F" w:rsidRPr="006E255B">
        <w:rPr>
          <w:rFonts w:ascii="Calibri Light" w:hAnsi="Calibri Light" w:cs="Calibri Light"/>
        </w:rPr>
        <w:t>s, industry, professionals, the research community</w:t>
      </w:r>
      <w:r w:rsidR="002A68FB" w:rsidRPr="006E255B">
        <w:rPr>
          <w:rFonts w:ascii="Calibri Light" w:hAnsi="Calibri Light" w:cs="Calibri Light"/>
        </w:rPr>
        <w:t xml:space="preserve"> and society</w:t>
      </w:r>
      <w:r w:rsidRPr="006E255B">
        <w:rPr>
          <w:rFonts w:ascii="Calibri Light" w:hAnsi="Calibri Light" w:cs="Calibri Light"/>
        </w:rPr>
        <w:t>.</w:t>
      </w:r>
      <w:r w:rsidR="00877591" w:rsidRPr="006E255B">
        <w:rPr>
          <w:rFonts w:ascii="Calibri Light" w:hAnsi="Calibri Light" w:cs="Calibri Light"/>
        </w:rPr>
        <w:t xml:space="preserve"> </w:t>
      </w:r>
    </w:p>
    <w:p w14:paraId="58E6BDF8" w14:textId="77777777" w:rsidR="00877591" w:rsidRPr="006E255B" w:rsidRDefault="00877591" w:rsidP="00930229">
      <w:pPr>
        <w:spacing w:after="120" w:line="240" w:lineRule="auto"/>
        <w:rPr>
          <w:rFonts w:ascii="Calibri Light" w:hAnsi="Calibri Light" w:cs="Calibri Light"/>
          <w:b/>
        </w:rPr>
      </w:pPr>
      <w:r w:rsidRPr="006E255B">
        <w:rPr>
          <w:rFonts w:ascii="Calibri Light" w:hAnsi="Calibri Light" w:cs="Calibri Light"/>
          <w:b/>
        </w:rPr>
        <w:t>The Public Sector</w:t>
      </w:r>
    </w:p>
    <w:p w14:paraId="2712B0FB" w14:textId="77777777" w:rsidR="008A61EA" w:rsidRPr="006E255B" w:rsidRDefault="008A61EA" w:rsidP="008A61EA">
      <w:pPr>
        <w:spacing w:after="120" w:line="240" w:lineRule="auto"/>
        <w:rPr>
          <w:rFonts w:ascii="Calibri Light" w:hAnsi="Calibri Light" w:cs="Calibri Light"/>
        </w:rPr>
      </w:pPr>
      <w:r w:rsidRPr="006E255B">
        <w:rPr>
          <w:rFonts w:ascii="Calibri Light" w:hAnsi="Calibri Light" w:cs="Calibri Light"/>
        </w:rPr>
        <w:t>Antimicrobial resistance is a</w:t>
      </w:r>
      <w:r w:rsidR="00291503">
        <w:rPr>
          <w:rFonts w:ascii="Calibri Light" w:hAnsi="Calibri Light" w:cs="Calibri Light"/>
        </w:rPr>
        <w:t xml:space="preserve">n urgent </w:t>
      </w:r>
      <w:r w:rsidRPr="006E255B">
        <w:rPr>
          <w:rFonts w:ascii="Calibri Light" w:hAnsi="Calibri Light" w:cs="Calibri Light"/>
        </w:rPr>
        <w:t>national priority that requires the coo</w:t>
      </w:r>
      <w:r w:rsidR="00116A88" w:rsidRPr="006E255B">
        <w:rPr>
          <w:rFonts w:ascii="Calibri Light" w:hAnsi="Calibri Light" w:cs="Calibri Light"/>
        </w:rPr>
        <w:t xml:space="preserve">peration of all jurisdictions. </w:t>
      </w:r>
      <w:r w:rsidR="003F6B3C">
        <w:rPr>
          <w:rFonts w:ascii="Calibri Light" w:hAnsi="Calibri Light" w:cs="Calibri Light"/>
        </w:rPr>
        <w:t xml:space="preserve">Consequently, a </w:t>
      </w:r>
      <w:r w:rsidRPr="006E255B">
        <w:rPr>
          <w:rFonts w:ascii="Calibri Light" w:hAnsi="Calibri Light" w:cs="Calibri Light"/>
        </w:rPr>
        <w:t>coordinated effort across all levels of government</w:t>
      </w:r>
      <w:r w:rsidR="00116A88" w:rsidRPr="006E255B">
        <w:rPr>
          <w:rFonts w:ascii="Calibri Light" w:hAnsi="Calibri Light" w:cs="Calibri Light"/>
        </w:rPr>
        <w:t xml:space="preserve"> – </w:t>
      </w:r>
      <w:r w:rsidR="00291503">
        <w:rPr>
          <w:rFonts w:ascii="Calibri Light" w:hAnsi="Calibri Light" w:cs="Calibri Light"/>
        </w:rPr>
        <w:t xml:space="preserve">at the </w:t>
      </w:r>
      <w:r w:rsidR="00116A88" w:rsidRPr="006E255B">
        <w:rPr>
          <w:rFonts w:ascii="Calibri Light" w:hAnsi="Calibri Light" w:cs="Calibri Light"/>
        </w:rPr>
        <w:t>Commonwealth, state</w:t>
      </w:r>
      <w:r w:rsidR="00291503">
        <w:rPr>
          <w:rFonts w:ascii="Calibri Light" w:hAnsi="Calibri Light" w:cs="Calibri Light"/>
        </w:rPr>
        <w:t xml:space="preserve">, </w:t>
      </w:r>
      <w:r w:rsidR="00116A88" w:rsidRPr="006E255B">
        <w:rPr>
          <w:rFonts w:ascii="Calibri Light" w:hAnsi="Calibri Light" w:cs="Calibri Light"/>
        </w:rPr>
        <w:t>territory and local government</w:t>
      </w:r>
      <w:r w:rsidR="00385476">
        <w:rPr>
          <w:rFonts w:ascii="Calibri Light" w:hAnsi="Calibri Light" w:cs="Calibri Light"/>
        </w:rPr>
        <w:t xml:space="preserve"> level</w:t>
      </w:r>
      <w:r w:rsidR="00074238">
        <w:rPr>
          <w:rFonts w:ascii="Calibri Light" w:hAnsi="Calibri Light" w:cs="Calibri Light"/>
        </w:rPr>
        <w:t xml:space="preserve"> </w:t>
      </w:r>
      <w:r w:rsidR="00116A88" w:rsidRPr="006E255B">
        <w:rPr>
          <w:rFonts w:ascii="Calibri Light" w:hAnsi="Calibri Light" w:cs="Calibri Light"/>
        </w:rPr>
        <w:t xml:space="preserve">– </w:t>
      </w:r>
      <w:r w:rsidR="00291503">
        <w:rPr>
          <w:rFonts w:ascii="Calibri Light" w:hAnsi="Calibri Light" w:cs="Calibri Light"/>
        </w:rPr>
        <w:t>as well as</w:t>
      </w:r>
      <w:r w:rsidRPr="006E255B">
        <w:rPr>
          <w:rFonts w:ascii="Calibri Light" w:hAnsi="Calibri Light" w:cs="Calibri Light"/>
        </w:rPr>
        <w:t xml:space="preserve"> partnerships across </w:t>
      </w:r>
      <w:r w:rsidR="00291503">
        <w:rPr>
          <w:rFonts w:ascii="Calibri Light" w:hAnsi="Calibri Light" w:cs="Calibri Light"/>
        </w:rPr>
        <w:t xml:space="preserve">the </w:t>
      </w:r>
      <w:r w:rsidRPr="006E255B">
        <w:rPr>
          <w:rFonts w:ascii="Calibri Light" w:hAnsi="Calibri Light" w:cs="Calibri Light"/>
        </w:rPr>
        <w:t>human health, agriculture</w:t>
      </w:r>
      <w:r w:rsidR="00291503">
        <w:rPr>
          <w:rFonts w:ascii="Calibri Light" w:hAnsi="Calibri Light" w:cs="Calibri Light"/>
        </w:rPr>
        <w:t xml:space="preserve">, </w:t>
      </w:r>
      <w:r w:rsidRPr="006E255B">
        <w:rPr>
          <w:rFonts w:ascii="Calibri Light" w:hAnsi="Calibri Light" w:cs="Calibri Light"/>
        </w:rPr>
        <w:t>animal health and environment portfolios</w:t>
      </w:r>
      <w:r w:rsidR="00385476">
        <w:rPr>
          <w:rFonts w:ascii="Calibri Light" w:hAnsi="Calibri Light" w:cs="Calibri Light"/>
        </w:rPr>
        <w:t>, will be essential.</w:t>
      </w:r>
    </w:p>
    <w:p w14:paraId="131C5784" w14:textId="77777777" w:rsidR="00877591" w:rsidRPr="006E255B" w:rsidRDefault="00877591" w:rsidP="00930229">
      <w:pPr>
        <w:spacing w:after="120" w:line="240" w:lineRule="auto"/>
        <w:rPr>
          <w:rFonts w:ascii="Calibri Light" w:hAnsi="Calibri Light" w:cs="Calibri Light"/>
          <w:b/>
        </w:rPr>
      </w:pPr>
      <w:r w:rsidRPr="006E255B">
        <w:rPr>
          <w:rFonts w:ascii="Calibri Light" w:hAnsi="Calibri Light" w:cs="Calibri Light"/>
          <w:b/>
        </w:rPr>
        <w:t>The P</w:t>
      </w:r>
      <w:r w:rsidR="0069017C" w:rsidRPr="006E255B">
        <w:rPr>
          <w:rFonts w:ascii="Calibri Light" w:hAnsi="Calibri Light" w:cs="Calibri Light"/>
          <w:b/>
        </w:rPr>
        <w:t>rivate Sector</w:t>
      </w:r>
      <w:r w:rsidR="00E20A69" w:rsidRPr="006E255B">
        <w:rPr>
          <w:rFonts w:ascii="Calibri Light" w:hAnsi="Calibri Light" w:cs="Calibri Light"/>
          <w:b/>
        </w:rPr>
        <w:t xml:space="preserve"> and </w:t>
      </w:r>
      <w:r w:rsidR="0069017C" w:rsidRPr="006E255B">
        <w:rPr>
          <w:rFonts w:ascii="Calibri Light" w:hAnsi="Calibri Light" w:cs="Calibri Light"/>
          <w:b/>
        </w:rPr>
        <w:t xml:space="preserve">Industry </w:t>
      </w:r>
    </w:p>
    <w:p w14:paraId="41561D9F" w14:textId="77777777" w:rsidR="0069017C" w:rsidRPr="006E255B" w:rsidRDefault="00877591" w:rsidP="00E20A69">
      <w:pPr>
        <w:spacing w:after="120" w:line="240" w:lineRule="auto"/>
        <w:rPr>
          <w:rFonts w:ascii="Calibri Light" w:hAnsi="Calibri Light" w:cs="Calibri Light"/>
        </w:rPr>
      </w:pPr>
      <w:r w:rsidRPr="006E255B">
        <w:rPr>
          <w:rFonts w:ascii="Calibri Light" w:hAnsi="Calibri Light" w:cs="Calibri Light"/>
        </w:rPr>
        <w:t xml:space="preserve">The private sector </w:t>
      </w:r>
      <w:r w:rsidR="00E20A69" w:rsidRPr="006E255B">
        <w:rPr>
          <w:rFonts w:ascii="Calibri Light" w:hAnsi="Calibri Light" w:cs="Calibri Light"/>
        </w:rPr>
        <w:t xml:space="preserve">and industry </w:t>
      </w:r>
      <w:r w:rsidRPr="006E255B">
        <w:rPr>
          <w:rFonts w:ascii="Calibri Light" w:hAnsi="Calibri Light" w:cs="Calibri Light"/>
        </w:rPr>
        <w:t xml:space="preserve">can assist </w:t>
      </w:r>
      <w:r w:rsidR="00385476">
        <w:rPr>
          <w:rFonts w:ascii="Calibri Light" w:hAnsi="Calibri Light" w:cs="Calibri Light"/>
        </w:rPr>
        <w:t>by</w:t>
      </w:r>
      <w:r w:rsidRPr="006E255B">
        <w:rPr>
          <w:rFonts w:ascii="Calibri Light" w:hAnsi="Calibri Light" w:cs="Calibri Light"/>
        </w:rPr>
        <w:t xml:space="preserve"> promoting </w:t>
      </w:r>
      <w:r w:rsidR="0069017C" w:rsidRPr="006E255B">
        <w:rPr>
          <w:rFonts w:ascii="Calibri Light" w:hAnsi="Calibri Light" w:cs="Calibri Light"/>
        </w:rPr>
        <w:t xml:space="preserve">best-practice </w:t>
      </w:r>
      <w:r w:rsidR="00E20A69" w:rsidRPr="006E255B">
        <w:rPr>
          <w:rFonts w:ascii="Calibri Light" w:hAnsi="Calibri Light" w:cs="Calibri Light"/>
        </w:rPr>
        <w:t>stewardship</w:t>
      </w:r>
      <w:r w:rsidR="00AC1127">
        <w:rPr>
          <w:rFonts w:ascii="Calibri Light" w:hAnsi="Calibri Light" w:cs="Calibri Light"/>
        </w:rPr>
        <w:t xml:space="preserve">, </w:t>
      </w:r>
      <w:r w:rsidR="00E20A69" w:rsidRPr="006E255B">
        <w:rPr>
          <w:rFonts w:ascii="Calibri Light" w:hAnsi="Calibri Light" w:cs="Calibri Light"/>
        </w:rPr>
        <w:t xml:space="preserve">infection </w:t>
      </w:r>
      <w:r w:rsidRPr="006E255B">
        <w:rPr>
          <w:rFonts w:ascii="Calibri Light" w:hAnsi="Calibri Light" w:cs="Calibri Light"/>
        </w:rPr>
        <w:t>prevent</w:t>
      </w:r>
      <w:r w:rsidR="00E20A69" w:rsidRPr="006E255B">
        <w:rPr>
          <w:rFonts w:ascii="Calibri Light" w:hAnsi="Calibri Light" w:cs="Calibri Light"/>
        </w:rPr>
        <w:t>ion and biosecurity</w:t>
      </w:r>
      <w:r w:rsidRPr="006E255B">
        <w:rPr>
          <w:rFonts w:ascii="Calibri Light" w:hAnsi="Calibri Light" w:cs="Calibri Light"/>
        </w:rPr>
        <w:t xml:space="preserve"> measures</w:t>
      </w:r>
      <w:r w:rsidR="00E20A69" w:rsidRPr="006E255B">
        <w:rPr>
          <w:rFonts w:ascii="Calibri Light" w:hAnsi="Calibri Light" w:cs="Calibri Light"/>
        </w:rPr>
        <w:t>;</w:t>
      </w:r>
      <w:r w:rsidR="0069017C" w:rsidRPr="006E255B">
        <w:rPr>
          <w:rFonts w:ascii="Calibri Light" w:hAnsi="Calibri Light" w:cs="Calibri Light"/>
        </w:rPr>
        <w:t xml:space="preserve"> and </w:t>
      </w:r>
      <w:r w:rsidR="00AC1127">
        <w:rPr>
          <w:rFonts w:ascii="Calibri Light" w:hAnsi="Calibri Light" w:cs="Calibri Light"/>
        </w:rPr>
        <w:t>by demanding</w:t>
      </w:r>
      <w:r w:rsidR="0069017C" w:rsidRPr="006E255B">
        <w:rPr>
          <w:rFonts w:ascii="Calibri Light" w:hAnsi="Calibri Light" w:cs="Calibri Light"/>
        </w:rPr>
        <w:t xml:space="preserve"> compliance </w:t>
      </w:r>
      <w:r w:rsidR="00E20A69" w:rsidRPr="006E255B">
        <w:rPr>
          <w:rFonts w:ascii="Calibri Light" w:hAnsi="Calibri Light" w:cs="Calibri Light"/>
        </w:rPr>
        <w:t>with best</w:t>
      </w:r>
      <w:r w:rsidR="00E20A69" w:rsidRPr="006E255B">
        <w:rPr>
          <w:rFonts w:ascii="Calibri Light" w:hAnsi="Calibri Light" w:cs="Calibri Light"/>
        </w:rPr>
        <w:softHyphen/>
        <w:t xml:space="preserve">-practice guidelines and standards </w:t>
      </w:r>
      <w:r w:rsidR="00AC1127">
        <w:rPr>
          <w:rFonts w:ascii="Calibri Light" w:hAnsi="Calibri Light" w:cs="Calibri Light"/>
        </w:rPr>
        <w:t>from</w:t>
      </w:r>
      <w:r w:rsidR="00E20A69" w:rsidRPr="006E255B">
        <w:rPr>
          <w:rFonts w:ascii="Calibri Light" w:hAnsi="Calibri Light" w:cs="Calibri Light"/>
        </w:rPr>
        <w:t xml:space="preserve"> </w:t>
      </w:r>
      <w:r w:rsidR="00BE6478">
        <w:rPr>
          <w:rFonts w:ascii="Calibri Light" w:hAnsi="Calibri Light" w:cs="Calibri Light"/>
        </w:rPr>
        <w:t xml:space="preserve">suppliers such as </w:t>
      </w:r>
      <w:r w:rsidR="00074238">
        <w:rPr>
          <w:rFonts w:ascii="Calibri Light" w:hAnsi="Calibri Light" w:cs="Calibri Light"/>
        </w:rPr>
        <w:t xml:space="preserve">health service providers, </w:t>
      </w:r>
      <w:r w:rsidR="00DA367F" w:rsidRPr="006E255B">
        <w:rPr>
          <w:rFonts w:ascii="Calibri Light" w:hAnsi="Calibri Light" w:cs="Calibri Light"/>
        </w:rPr>
        <w:t xml:space="preserve">producers, veterinarians, and </w:t>
      </w:r>
      <w:r w:rsidR="00BE6478">
        <w:rPr>
          <w:rFonts w:ascii="Calibri Light" w:hAnsi="Calibri Light" w:cs="Calibri Light"/>
        </w:rPr>
        <w:t>other</w:t>
      </w:r>
      <w:r w:rsidR="00E20A69" w:rsidRPr="006E255B">
        <w:rPr>
          <w:rFonts w:ascii="Calibri Light" w:hAnsi="Calibri Light" w:cs="Calibri Light"/>
        </w:rPr>
        <w:t xml:space="preserve"> business</w:t>
      </w:r>
      <w:r w:rsidR="00D252FB" w:rsidRPr="006E255B">
        <w:rPr>
          <w:rFonts w:ascii="Calibri Light" w:hAnsi="Calibri Light" w:cs="Calibri Light"/>
        </w:rPr>
        <w:t>es</w:t>
      </w:r>
      <w:r w:rsidR="00E20A69" w:rsidRPr="006E255B">
        <w:rPr>
          <w:rFonts w:ascii="Calibri Light" w:hAnsi="Calibri Light" w:cs="Calibri Light"/>
        </w:rPr>
        <w:t xml:space="preserve"> whilst working closely with regulators. </w:t>
      </w:r>
      <w:r w:rsidR="00BE6478">
        <w:rPr>
          <w:rFonts w:ascii="Calibri Light" w:hAnsi="Calibri Light" w:cs="Calibri Light"/>
        </w:rPr>
        <w:t>I</w:t>
      </w:r>
      <w:r w:rsidR="00E20A69" w:rsidRPr="006E255B">
        <w:rPr>
          <w:rFonts w:ascii="Calibri Light" w:hAnsi="Calibri Light" w:cs="Calibri Light"/>
        </w:rPr>
        <w:t xml:space="preserve">ndustry can also invest in research and development </w:t>
      </w:r>
      <w:r w:rsidR="00BE6478">
        <w:rPr>
          <w:rFonts w:ascii="Calibri Light" w:hAnsi="Calibri Light" w:cs="Calibri Light"/>
        </w:rPr>
        <w:t>to</w:t>
      </w:r>
      <w:r w:rsidR="00E20A69" w:rsidRPr="006E255B">
        <w:rPr>
          <w:rFonts w:ascii="Calibri Light" w:hAnsi="Calibri Light" w:cs="Calibri Light"/>
        </w:rPr>
        <w:t xml:space="preserve"> ensure an effective supply of antimicrobial treatments</w:t>
      </w:r>
      <w:r w:rsidR="00BE6478">
        <w:rPr>
          <w:rFonts w:ascii="Calibri Light" w:hAnsi="Calibri Light" w:cs="Calibri Light"/>
        </w:rPr>
        <w:t xml:space="preserve">, </w:t>
      </w:r>
      <w:r w:rsidR="005F7656">
        <w:rPr>
          <w:rFonts w:ascii="Calibri Light" w:hAnsi="Calibri Light" w:cs="Calibri Light"/>
        </w:rPr>
        <w:t xml:space="preserve">better </w:t>
      </w:r>
      <w:r w:rsidR="00E20A69" w:rsidRPr="006E255B">
        <w:rPr>
          <w:rFonts w:ascii="Calibri Light" w:hAnsi="Calibri Light" w:cs="Calibri Light"/>
        </w:rPr>
        <w:t>diagnostic tools</w:t>
      </w:r>
      <w:r w:rsidR="00BE6478">
        <w:rPr>
          <w:rFonts w:ascii="Calibri Light" w:hAnsi="Calibri Light" w:cs="Calibri Light"/>
        </w:rPr>
        <w:t xml:space="preserve"> and new a</w:t>
      </w:r>
      <w:r w:rsidR="00BE6478" w:rsidRPr="006E255B">
        <w:rPr>
          <w:rFonts w:ascii="Calibri Light" w:hAnsi="Calibri Light" w:cs="Calibri Light"/>
        </w:rPr>
        <w:t xml:space="preserve">ntimicrobial </w:t>
      </w:r>
      <w:r w:rsidR="00BE6478">
        <w:rPr>
          <w:rFonts w:ascii="Calibri Light" w:hAnsi="Calibri Light" w:cs="Calibri Light"/>
        </w:rPr>
        <w:t>approaches</w:t>
      </w:r>
      <w:r w:rsidR="00E20A69" w:rsidRPr="006E255B">
        <w:rPr>
          <w:rFonts w:ascii="Calibri Light" w:hAnsi="Calibri Light" w:cs="Calibri Light"/>
        </w:rPr>
        <w:t>.</w:t>
      </w:r>
    </w:p>
    <w:p w14:paraId="1FBB3F38" w14:textId="77777777" w:rsidR="00877591" w:rsidRPr="006E255B" w:rsidRDefault="00877591" w:rsidP="00930229">
      <w:pPr>
        <w:spacing w:after="120" w:line="240" w:lineRule="auto"/>
        <w:rPr>
          <w:rFonts w:ascii="Calibri Light" w:hAnsi="Calibri Light" w:cs="Calibri Light"/>
          <w:b/>
        </w:rPr>
      </w:pPr>
      <w:r w:rsidRPr="006E255B">
        <w:rPr>
          <w:rFonts w:ascii="Calibri Light" w:hAnsi="Calibri Light" w:cs="Calibri Light"/>
          <w:b/>
        </w:rPr>
        <w:t>Professionals</w:t>
      </w:r>
    </w:p>
    <w:p w14:paraId="6D7514BE" w14:textId="6E20C21B" w:rsidR="00877591" w:rsidRPr="006E255B" w:rsidRDefault="00877591" w:rsidP="00930229">
      <w:pPr>
        <w:spacing w:after="120" w:line="240" w:lineRule="auto"/>
        <w:rPr>
          <w:rFonts w:ascii="Calibri Light" w:hAnsi="Calibri Light" w:cs="Calibri Light"/>
        </w:rPr>
      </w:pPr>
      <w:r w:rsidRPr="006E255B">
        <w:rPr>
          <w:rFonts w:ascii="Calibri Light" w:hAnsi="Calibri Light" w:cs="Calibri Light"/>
        </w:rPr>
        <w:t>Professionals can engage in and promote best</w:t>
      </w:r>
      <w:r w:rsidR="00D957BF">
        <w:rPr>
          <w:rFonts w:ascii="Calibri Light" w:hAnsi="Calibri Light" w:cs="Calibri Light"/>
        </w:rPr>
        <w:t>-</w:t>
      </w:r>
      <w:r w:rsidRPr="006E255B">
        <w:rPr>
          <w:rFonts w:ascii="Calibri Light" w:hAnsi="Calibri Light" w:cs="Calibri Light"/>
        </w:rPr>
        <w:t xml:space="preserve">practice </w:t>
      </w:r>
      <w:r w:rsidR="009E5D13">
        <w:rPr>
          <w:rFonts w:ascii="Calibri Light" w:hAnsi="Calibri Light" w:cs="Calibri Light"/>
        </w:rPr>
        <w:t xml:space="preserve">use </w:t>
      </w:r>
      <w:r w:rsidRPr="006E255B">
        <w:rPr>
          <w:rFonts w:ascii="Calibri Light" w:hAnsi="Calibri Light" w:cs="Calibri Light"/>
        </w:rPr>
        <w:t>and stewardship across the human, animal, food and environmental health sectors. They can also promote best</w:t>
      </w:r>
      <w:r w:rsidR="00D957BF">
        <w:rPr>
          <w:rFonts w:ascii="Calibri Light" w:hAnsi="Calibri Light" w:cs="Calibri Light"/>
        </w:rPr>
        <w:t>-</w:t>
      </w:r>
      <w:r w:rsidRPr="006E255B">
        <w:rPr>
          <w:rFonts w:ascii="Calibri Light" w:hAnsi="Calibri Light" w:cs="Calibri Light"/>
        </w:rPr>
        <w:t xml:space="preserve">practice infection prevention and control and antimicrobial use by health workers, veterinarians, </w:t>
      </w:r>
      <w:r w:rsidR="0029684F" w:rsidRPr="006E255B">
        <w:rPr>
          <w:rFonts w:ascii="Calibri Light" w:hAnsi="Calibri Light" w:cs="Calibri Light"/>
        </w:rPr>
        <w:t>f</w:t>
      </w:r>
      <w:r w:rsidR="0029684F">
        <w:rPr>
          <w:rFonts w:ascii="Calibri Light" w:hAnsi="Calibri Light" w:cs="Calibri Light"/>
        </w:rPr>
        <w:t>ood producers</w:t>
      </w:r>
      <w:r w:rsidR="0029684F" w:rsidRPr="006E255B">
        <w:rPr>
          <w:rFonts w:ascii="Calibri Light" w:hAnsi="Calibri Light" w:cs="Calibri Light"/>
        </w:rPr>
        <w:t xml:space="preserve"> </w:t>
      </w:r>
      <w:r w:rsidRPr="006E255B">
        <w:rPr>
          <w:rFonts w:ascii="Calibri Light" w:hAnsi="Calibri Light" w:cs="Calibri Light"/>
        </w:rPr>
        <w:t xml:space="preserve">and throughout the food chain. Peak professional and industry bodies </w:t>
      </w:r>
      <w:r w:rsidR="009B0128">
        <w:rPr>
          <w:rFonts w:ascii="Calibri Light" w:hAnsi="Calibri Light" w:cs="Calibri Light"/>
        </w:rPr>
        <w:t xml:space="preserve">in the sectors affected </w:t>
      </w:r>
      <w:r w:rsidRPr="006E255B">
        <w:rPr>
          <w:rFonts w:ascii="Calibri Light" w:hAnsi="Calibri Light" w:cs="Calibri Light"/>
        </w:rPr>
        <w:t xml:space="preserve">should consider incorporating </w:t>
      </w:r>
      <w:r w:rsidR="009E5D13">
        <w:rPr>
          <w:rFonts w:ascii="Calibri Light" w:hAnsi="Calibri Light" w:cs="Calibri Light"/>
        </w:rPr>
        <w:t>a</w:t>
      </w:r>
      <w:r w:rsidR="009E5D13" w:rsidRPr="00303AF1">
        <w:rPr>
          <w:rFonts w:ascii="Calibri Light" w:hAnsi="Calibri Light" w:cs="Calibri Light"/>
        </w:rPr>
        <w:t xml:space="preserve">ntimicrobial resistance </w:t>
      </w:r>
      <w:r w:rsidRPr="006E255B">
        <w:rPr>
          <w:rFonts w:ascii="Calibri Light" w:hAnsi="Calibri Light" w:cs="Calibri Light"/>
        </w:rPr>
        <w:t>into their accreditation, professional development and training programs.</w:t>
      </w:r>
    </w:p>
    <w:p w14:paraId="3FA9AF37" w14:textId="77777777" w:rsidR="00877591" w:rsidRPr="006E255B" w:rsidRDefault="00877591" w:rsidP="00930229">
      <w:pPr>
        <w:spacing w:after="120" w:line="240" w:lineRule="auto"/>
        <w:rPr>
          <w:rFonts w:ascii="Calibri Light" w:hAnsi="Calibri Light" w:cs="Calibri Light"/>
          <w:b/>
        </w:rPr>
      </w:pPr>
      <w:r w:rsidRPr="006E255B">
        <w:rPr>
          <w:rFonts w:ascii="Calibri Light" w:hAnsi="Calibri Light" w:cs="Calibri Light"/>
          <w:b/>
        </w:rPr>
        <w:t>The Research Community</w:t>
      </w:r>
    </w:p>
    <w:p w14:paraId="6BB3A3EC" w14:textId="3B555F04" w:rsidR="00877591" w:rsidRPr="006E255B" w:rsidRDefault="00877591" w:rsidP="00930229">
      <w:pPr>
        <w:spacing w:after="120" w:line="240" w:lineRule="auto"/>
        <w:rPr>
          <w:rFonts w:ascii="Calibri Light" w:hAnsi="Calibri Light" w:cs="Calibri Light"/>
        </w:rPr>
      </w:pPr>
      <w:r w:rsidRPr="006E255B">
        <w:rPr>
          <w:rFonts w:ascii="Calibri Light" w:hAnsi="Calibri Light" w:cs="Calibri Light"/>
        </w:rPr>
        <w:t xml:space="preserve">Research and development </w:t>
      </w:r>
      <w:r w:rsidR="00E45655">
        <w:rPr>
          <w:rFonts w:ascii="Calibri Light" w:hAnsi="Calibri Light" w:cs="Calibri Light"/>
        </w:rPr>
        <w:t>will play a crucial role</w:t>
      </w:r>
      <w:r w:rsidRPr="006E255B">
        <w:rPr>
          <w:rFonts w:ascii="Calibri Light" w:hAnsi="Calibri Light" w:cs="Calibri Light"/>
        </w:rPr>
        <w:t xml:space="preserve"> in </w:t>
      </w:r>
      <w:r w:rsidR="00E45655">
        <w:rPr>
          <w:rFonts w:ascii="Calibri Light" w:hAnsi="Calibri Light" w:cs="Calibri Light"/>
        </w:rPr>
        <w:t xml:space="preserve">helping </w:t>
      </w:r>
      <w:r w:rsidR="00D957BF">
        <w:rPr>
          <w:rFonts w:ascii="Calibri Light" w:hAnsi="Calibri Light" w:cs="Calibri Light"/>
        </w:rPr>
        <w:t xml:space="preserve">to </w:t>
      </w:r>
      <w:r w:rsidR="00E45655">
        <w:rPr>
          <w:rFonts w:ascii="Calibri Light" w:hAnsi="Calibri Light" w:cs="Calibri Light"/>
        </w:rPr>
        <w:t xml:space="preserve">create a </w:t>
      </w:r>
      <w:r w:rsidRPr="006E255B">
        <w:rPr>
          <w:rFonts w:ascii="Calibri Light" w:hAnsi="Calibri Light" w:cs="Calibri Light"/>
        </w:rPr>
        <w:t xml:space="preserve">comprehensive, multi-sectoral approach to </w:t>
      </w:r>
      <w:r w:rsidR="00E45655">
        <w:rPr>
          <w:rFonts w:ascii="Calibri Light" w:hAnsi="Calibri Light" w:cs="Calibri Light"/>
        </w:rPr>
        <w:t>a</w:t>
      </w:r>
      <w:r w:rsidR="00E45655" w:rsidRPr="00303AF1">
        <w:rPr>
          <w:rFonts w:ascii="Calibri Light" w:hAnsi="Calibri Light" w:cs="Calibri Light"/>
        </w:rPr>
        <w:t xml:space="preserve">ntimicrobial resistance </w:t>
      </w:r>
      <w:r w:rsidRPr="006E255B">
        <w:rPr>
          <w:rFonts w:ascii="Calibri Light" w:hAnsi="Calibri Light" w:cs="Calibri Light"/>
        </w:rPr>
        <w:t xml:space="preserve">through </w:t>
      </w:r>
      <w:r w:rsidR="00E45655">
        <w:rPr>
          <w:rFonts w:ascii="Calibri Light" w:hAnsi="Calibri Light" w:cs="Calibri Light"/>
        </w:rPr>
        <w:t>its</w:t>
      </w:r>
      <w:r w:rsidRPr="006E255B">
        <w:rPr>
          <w:rFonts w:ascii="Calibri Light" w:hAnsi="Calibri Light" w:cs="Calibri Light"/>
        </w:rPr>
        <w:t xml:space="preserve"> role in expand</w:t>
      </w:r>
      <w:r w:rsidR="00E45655">
        <w:rPr>
          <w:rFonts w:ascii="Calibri Light" w:hAnsi="Calibri Light" w:cs="Calibri Light"/>
        </w:rPr>
        <w:t>ing</w:t>
      </w:r>
      <w:r w:rsidRPr="006E255B">
        <w:rPr>
          <w:rFonts w:ascii="Calibri Light" w:hAnsi="Calibri Light" w:cs="Calibri Light"/>
        </w:rPr>
        <w:t xml:space="preserve"> the knowledge base</w:t>
      </w:r>
      <w:r w:rsidR="00DB4D3C">
        <w:rPr>
          <w:rFonts w:ascii="Calibri Light" w:hAnsi="Calibri Light" w:cs="Calibri Light"/>
        </w:rPr>
        <w:t xml:space="preserve"> on </w:t>
      </w:r>
      <w:r w:rsidR="0044600E">
        <w:rPr>
          <w:rFonts w:ascii="Calibri Light" w:hAnsi="Calibri Light" w:cs="Calibri Light"/>
        </w:rPr>
        <w:t xml:space="preserve">resistant </w:t>
      </w:r>
      <w:r w:rsidR="00DB4D3C">
        <w:rPr>
          <w:rFonts w:ascii="Calibri Light" w:hAnsi="Calibri Light" w:cs="Calibri Light"/>
        </w:rPr>
        <w:t xml:space="preserve">microorganisms and </w:t>
      </w:r>
      <w:r w:rsidR="00D957BF">
        <w:rPr>
          <w:rFonts w:ascii="Calibri Light" w:hAnsi="Calibri Light" w:cs="Calibri Light"/>
        </w:rPr>
        <w:t xml:space="preserve">on </w:t>
      </w:r>
      <w:r w:rsidR="00DB4D3C">
        <w:rPr>
          <w:rFonts w:ascii="Calibri Light" w:hAnsi="Calibri Light" w:cs="Calibri Light"/>
        </w:rPr>
        <w:t xml:space="preserve">how to contain </w:t>
      </w:r>
      <w:r w:rsidR="0044600E">
        <w:rPr>
          <w:rFonts w:ascii="Calibri Light" w:hAnsi="Calibri Light" w:cs="Calibri Light"/>
        </w:rPr>
        <w:t>and alleviate</w:t>
      </w:r>
      <w:r w:rsidR="00DB4D3C">
        <w:rPr>
          <w:rFonts w:ascii="Calibri Light" w:hAnsi="Calibri Light" w:cs="Calibri Light"/>
        </w:rPr>
        <w:t xml:space="preserve"> </w:t>
      </w:r>
      <w:r w:rsidR="0044600E">
        <w:rPr>
          <w:rFonts w:ascii="Calibri Light" w:hAnsi="Calibri Light" w:cs="Calibri Light"/>
        </w:rPr>
        <w:t xml:space="preserve">their </w:t>
      </w:r>
      <w:r w:rsidR="00C53F5D">
        <w:rPr>
          <w:rFonts w:ascii="Calibri Light" w:hAnsi="Calibri Light" w:cs="Calibri Light"/>
        </w:rPr>
        <w:t>impact</w:t>
      </w:r>
      <w:r w:rsidR="00DB4D3C">
        <w:rPr>
          <w:rFonts w:ascii="Calibri Light" w:hAnsi="Calibri Light" w:cs="Calibri Light"/>
        </w:rPr>
        <w:t xml:space="preserve">. </w:t>
      </w:r>
      <w:r w:rsidRPr="006E255B">
        <w:rPr>
          <w:rFonts w:ascii="Calibri Light" w:hAnsi="Calibri Light" w:cs="Calibri Light"/>
        </w:rPr>
        <w:t>Researchers, academics and fund</w:t>
      </w:r>
      <w:r w:rsidR="003E6A1D">
        <w:rPr>
          <w:rFonts w:ascii="Calibri Light" w:hAnsi="Calibri Light" w:cs="Calibri Light"/>
        </w:rPr>
        <w:t xml:space="preserve">ing agencies </w:t>
      </w:r>
      <w:r w:rsidRPr="006E255B">
        <w:rPr>
          <w:rFonts w:ascii="Calibri Light" w:hAnsi="Calibri Light" w:cs="Calibri Light"/>
        </w:rPr>
        <w:t xml:space="preserve">can </w:t>
      </w:r>
      <w:r w:rsidR="003E6A1D">
        <w:rPr>
          <w:rFonts w:ascii="Calibri Light" w:hAnsi="Calibri Light" w:cs="Calibri Light"/>
        </w:rPr>
        <w:t xml:space="preserve">also </w:t>
      </w:r>
      <w:r w:rsidRPr="006E255B">
        <w:rPr>
          <w:rFonts w:ascii="Calibri Light" w:hAnsi="Calibri Light" w:cs="Calibri Light"/>
        </w:rPr>
        <w:t xml:space="preserve">improve our understanding of </w:t>
      </w:r>
      <w:r w:rsidR="003E6A1D">
        <w:rPr>
          <w:rFonts w:ascii="Calibri Light" w:hAnsi="Calibri Light" w:cs="Calibri Light"/>
        </w:rPr>
        <w:t xml:space="preserve">how </w:t>
      </w:r>
      <w:r w:rsidRPr="006E255B">
        <w:rPr>
          <w:rFonts w:ascii="Calibri Light" w:hAnsi="Calibri Light" w:cs="Calibri Light"/>
        </w:rPr>
        <w:t xml:space="preserve">antimicrobial resistance </w:t>
      </w:r>
      <w:r w:rsidR="003E6A1D">
        <w:rPr>
          <w:rFonts w:ascii="Calibri Light" w:hAnsi="Calibri Light" w:cs="Calibri Light"/>
        </w:rPr>
        <w:t xml:space="preserve">arises, </w:t>
      </w:r>
      <w:r w:rsidRPr="006E255B">
        <w:rPr>
          <w:rFonts w:ascii="Calibri Light" w:hAnsi="Calibri Light" w:cs="Calibri Light"/>
        </w:rPr>
        <w:t>and develop new, safe and effective treatments.</w:t>
      </w:r>
    </w:p>
    <w:p w14:paraId="65A497DB" w14:textId="77777777" w:rsidR="00877591" w:rsidRPr="006E255B" w:rsidRDefault="00877591" w:rsidP="00930229">
      <w:pPr>
        <w:spacing w:after="120" w:line="240" w:lineRule="auto"/>
        <w:rPr>
          <w:rFonts w:ascii="Calibri Light" w:hAnsi="Calibri Light" w:cs="Calibri Light"/>
          <w:b/>
        </w:rPr>
      </w:pPr>
      <w:r w:rsidRPr="006E255B">
        <w:rPr>
          <w:rFonts w:ascii="Calibri Light" w:hAnsi="Calibri Light" w:cs="Calibri Light"/>
          <w:b/>
        </w:rPr>
        <w:t>Society</w:t>
      </w:r>
    </w:p>
    <w:p w14:paraId="7662A7F6" w14:textId="77777777" w:rsidR="00815A6E" w:rsidRPr="006E255B" w:rsidRDefault="00E75BE6" w:rsidP="0069017C">
      <w:pPr>
        <w:spacing w:after="120" w:line="240" w:lineRule="auto"/>
        <w:rPr>
          <w:rFonts w:ascii="Calibri Light" w:hAnsi="Calibri Light" w:cs="Calibri Light"/>
          <w:i/>
        </w:rPr>
      </w:pPr>
      <w:r>
        <w:rPr>
          <w:rFonts w:ascii="Calibri Light" w:hAnsi="Calibri Light" w:cs="Calibri Light"/>
        </w:rPr>
        <w:t>R</w:t>
      </w:r>
      <w:r w:rsidR="00877591" w:rsidRPr="006E255B">
        <w:rPr>
          <w:rFonts w:ascii="Calibri Light" w:hAnsi="Calibri Light" w:cs="Calibri Light"/>
        </w:rPr>
        <w:t>educ</w:t>
      </w:r>
      <w:r>
        <w:rPr>
          <w:rFonts w:ascii="Calibri Light" w:hAnsi="Calibri Light" w:cs="Calibri Light"/>
        </w:rPr>
        <w:t>ing</w:t>
      </w:r>
      <w:r w:rsidR="00877591" w:rsidRPr="006E255B">
        <w:rPr>
          <w:rFonts w:ascii="Calibri Light" w:hAnsi="Calibri Light" w:cs="Calibri Light"/>
        </w:rPr>
        <w:t xml:space="preserve"> the need for, and use of, antimicrobials </w:t>
      </w:r>
      <w:r>
        <w:rPr>
          <w:rFonts w:ascii="Calibri Light" w:hAnsi="Calibri Light" w:cs="Calibri Light"/>
        </w:rPr>
        <w:t>will require Australians from all walks of life –</w:t>
      </w:r>
      <w:r w:rsidR="00877591" w:rsidRPr="006E255B">
        <w:rPr>
          <w:rFonts w:ascii="Calibri Light" w:hAnsi="Calibri Light" w:cs="Calibri Light"/>
        </w:rPr>
        <w:t xml:space="preserve"> including patients, animal owners, consumers and civil society organisations </w:t>
      </w:r>
      <w:r>
        <w:rPr>
          <w:rFonts w:ascii="Calibri Light" w:hAnsi="Calibri Light" w:cs="Calibri Light"/>
        </w:rPr>
        <w:t xml:space="preserve">– </w:t>
      </w:r>
      <w:r w:rsidR="00877591" w:rsidRPr="006E255B">
        <w:rPr>
          <w:rFonts w:ascii="Calibri Light" w:hAnsi="Calibri Light" w:cs="Calibri Light"/>
        </w:rPr>
        <w:t xml:space="preserve">to gain </w:t>
      </w:r>
      <w:r>
        <w:rPr>
          <w:rFonts w:ascii="Calibri Light" w:hAnsi="Calibri Light" w:cs="Calibri Light"/>
        </w:rPr>
        <w:t xml:space="preserve">a </w:t>
      </w:r>
      <w:r w:rsidR="00877591" w:rsidRPr="006E255B">
        <w:rPr>
          <w:rFonts w:ascii="Calibri Light" w:hAnsi="Calibri Light" w:cs="Calibri Light"/>
        </w:rPr>
        <w:t xml:space="preserve">greater understanding </w:t>
      </w:r>
      <w:r>
        <w:rPr>
          <w:rFonts w:ascii="Calibri Light" w:hAnsi="Calibri Light" w:cs="Calibri Light"/>
        </w:rPr>
        <w:t xml:space="preserve">and appreciation </w:t>
      </w:r>
      <w:r w:rsidR="00877591" w:rsidRPr="006E255B">
        <w:rPr>
          <w:rFonts w:ascii="Calibri Light" w:hAnsi="Calibri Light" w:cs="Calibri Light"/>
        </w:rPr>
        <w:t xml:space="preserve">of </w:t>
      </w:r>
      <w:r>
        <w:rPr>
          <w:rFonts w:ascii="Calibri Light" w:hAnsi="Calibri Light" w:cs="Calibri Light"/>
        </w:rPr>
        <w:t>the dangers posed by a</w:t>
      </w:r>
      <w:r w:rsidRPr="00303AF1">
        <w:rPr>
          <w:rFonts w:ascii="Calibri Light" w:hAnsi="Calibri Light" w:cs="Calibri Light"/>
        </w:rPr>
        <w:t>ntimicrobial resistance</w:t>
      </w:r>
      <w:r w:rsidR="008C21F6">
        <w:rPr>
          <w:rFonts w:ascii="Calibri Light" w:hAnsi="Calibri Light" w:cs="Calibri Light"/>
        </w:rPr>
        <w:t xml:space="preserve">. </w:t>
      </w:r>
      <w:r w:rsidR="00877591" w:rsidRPr="006E255B">
        <w:rPr>
          <w:rFonts w:ascii="Calibri Light" w:hAnsi="Calibri Light" w:cs="Calibri Light"/>
        </w:rPr>
        <w:t>This includes understanding the risks and benefits of antimicrobials</w:t>
      </w:r>
      <w:r w:rsidR="008C21F6">
        <w:rPr>
          <w:rFonts w:ascii="Calibri Light" w:hAnsi="Calibri Light" w:cs="Calibri Light"/>
        </w:rPr>
        <w:t xml:space="preserve">, </w:t>
      </w:r>
      <w:r w:rsidR="00877591" w:rsidRPr="006E255B">
        <w:rPr>
          <w:rFonts w:ascii="Calibri Light" w:hAnsi="Calibri Light" w:cs="Calibri Light"/>
        </w:rPr>
        <w:t>using them only as directed</w:t>
      </w:r>
      <w:r w:rsidR="008C21F6">
        <w:rPr>
          <w:rFonts w:ascii="Calibri Light" w:hAnsi="Calibri Light" w:cs="Calibri Light"/>
        </w:rPr>
        <w:t xml:space="preserve">, </w:t>
      </w:r>
      <w:r w:rsidR="00877591" w:rsidRPr="006E255B">
        <w:rPr>
          <w:rFonts w:ascii="Calibri Light" w:hAnsi="Calibri Light" w:cs="Calibri Light"/>
        </w:rPr>
        <w:t xml:space="preserve">as well as taking responsibility for good personal and food hygiene and infection control at home or </w:t>
      </w:r>
      <w:r w:rsidR="0069017C" w:rsidRPr="006E255B">
        <w:rPr>
          <w:rFonts w:ascii="Calibri Light" w:hAnsi="Calibri Light" w:cs="Calibri Light"/>
        </w:rPr>
        <w:t>when travelling abroad for business</w:t>
      </w:r>
      <w:r w:rsidR="008C21F6">
        <w:rPr>
          <w:rFonts w:ascii="Calibri Light" w:hAnsi="Calibri Light" w:cs="Calibri Light"/>
        </w:rPr>
        <w:t xml:space="preserve">, </w:t>
      </w:r>
      <w:r w:rsidR="0069017C" w:rsidRPr="006E255B">
        <w:rPr>
          <w:rFonts w:ascii="Calibri Light" w:hAnsi="Calibri Light" w:cs="Calibri Light"/>
        </w:rPr>
        <w:t xml:space="preserve">tourism, </w:t>
      </w:r>
      <w:r w:rsidR="008C21F6">
        <w:rPr>
          <w:rFonts w:ascii="Calibri Light" w:hAnsi="Calibri Light" w:cs="Calibri Light"/>
        </w:rPr>
        <w:t>or for</w:t>
      </w:r>
      <w:r w:rsidR="0069017C" w:rsidRPr="006E255B">
        <w:rPr>
          <w:rFonts w:ascii="Calibri Light" w:hAnsi="Calibri Light" w:cs="Calibri Light"/>
        </w:rPr>
        <w:t xml:space="preserve"> medical </w:t>
      </w:r>
      <w:r w:rsidR="008C21F6">
        <w:rPr>
          <w:rFonts w:ascii="Calibri Light" w:hAnsi="Calibri Light" w:cs="Calibri Light"/>
        </w:rPr>
        <w:t>procedures</w:t>
      </w:r>
      <w:r w:rsidR="0069017C" w:rsidRPr="006E255B">
        <w:rPr>
          <w:rFonts w:ascii="Calibri Light" w:hAnsi="Calibri Light" w:cs="Calibri Light"/>
        </w:rPr>
        <w:t xml:space="preserve">. </w:t>
      </w:r>
    </w:p>
    <w:sectPr w:rsidR="00815A6E" w:rsidRPr="006E255B" w:rsidSect="00A42823">
      <w:type w:val="continuous"/>
      <w:pgSz w:w="11906" w:h="16838"/>
      <w:pgMar w:top="851" w:right="1440" w:bottom="851"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B88B83" w16cid:durableId="20E45DB7"/>
  <w16cid:commentId w16cid:paraId="7DCD0A63" w16cid:durableId="20E45DB8"/>
  <w16cid:commentId w16cid:paraId="3E146416" w16cid:durableId="20E45DB9"/>
  <w16cid:commentId w16cid:paraId="27B19587" w16cid:durableId="20E48D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17EA4" w14:textId="77777777" w:rsidR="00F96E29" w:rsidRDefault="00F96E29" w:rsidP="007123C8">
      <w:pPr>
        <w:spacing w:after="0" w:line="240" w:lineRule="auto"/>
      </w:pPr>
      <w:r>
        <w:separator/>
      </w:r>
    </w:p>
  </w:endnote>
  <w:endnote w:type="continuationSeparator" w:id="0">
    <w:p w14:paraId="5784BFCE" w14:textId="77777777" w:rsidR="00F96E29" w:rsidRDefault="00F96E29" w:rsidP="00712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08521954"/>
      <w:docPartObj>
        <w:docPartGallery w:val="Page Numbers (Bottom of Page)"/>
        <w:docPartUnique/>
      </w:docPartObj>
    </w:sdtPr>
    <w:sdtEndPr>
      <w:rPr>
        <w:rStyle w:val="PageNumber"/>
      </w:rPr>
    </w:sdtEndPr>
    <w:sdtContent>
      <w:p w14:paraId="6832FAF4" w14:textId="77777777" w:rsidR="00F96E29" w:rsidRDefault="00F96E29" w:rsidP="00B16DA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D2598E" w14:textId="77777777" w:rsidR="00F96E29" w:rsidRDefault="00F96E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45700239"/>
      <w:docPartObj>
        <w:docPartGallery w:val="Page Numbers (Bottom of Page)"/>
        <w:docPartUnique/>
      </w:docPartObj>
    </w:sdtPr>
    <w:sdtEndPr>
      <w:rPr>
        <w:rStyle w:val="PageNumber"/>
      </w:rPr>
    </w:sdtEndPr>
    <w:sdtContent>
      <w:p w14:paraId="110A5607" w14:textId="3874813A" w:rsidR="00F96E29" w:rsidRDefault="00F96E29" w:rsidP="00B16DAE">
        <w:pPr>
          <w:pStyle w:val="Footer"/>
          <w:framePr w:wrap="none" w:vAnchor="text" w:hAnchor="margin" w:xAlign="center" w:y="1"/>
          <w:rPr>
            <w:rStyle w:val="PageNumber"/>
          </w:rPr>
        </w:pPr>
        <w:r w:rsidRPr="00A42823">
          <w:rPr>
            <w:rStyle w:val="PageNumber"/>
            <w:sz w:val="16"/>
            <w:szCs w:val="16"/>
          </w:rPr>
          <w:fldChar w:fldCharType="begin"/>
        </w:r>
        <w:r w:rsidRPr="00A42823">
          <w:rPr>
            <w:rStyle w:val="PageNumber"/>
            <w:sz w:val="16"/>
            <w:szCs w:val="16"/>
          </w:rPr>
          <w:instrText xml:space="preserve"> PAGE </w:instrText>
        </w:r>
        <w:r w:rsidRPr="00A42823">
          <w:rPr>
            <w:rStyle w:val="PageNumber"/>
            <w:sz w:val="16"/>
            <w:szCs w:val="16"/>
          </w:rPr>
          <w:fldChar w:fldCharType="separate"/>
        </w:r>
        <w:r w:rsidR="003A270F">
          <w:rPr>
            <w:rStyle w:val="PageNumber"/>
            <w:noProof/>
            <w:sz w:val="16"/>
            <w:szCs w:val="16"/>
          </w:rPr>
          <w:t>3</w:t>
        </w:r>
        <w:r w:rsidRPr="00A42823">
          <w:rPr>
            <w:rStyle w:val="PageNumber"/>
            <w:sz w:val="16"/>
            <w:szCs w:val="16"/>
          </w:rPr>
          <w:fldChar w:fldCharType="end"/>
        </w:r>
      </w:p>
    </w:sdtContent>
  </w:sdt>
  <w:p w14:paraId="549310AD" w14:textId="77777777" w:rsidR="00F96E29" w:rsidRDefault="00F96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481EF" w14:textId="77777777" w:rsidR="00F96E29" w:rsidRDefault="00F96E29" w:rsidP="007123C8">
      <w:pPr>
        <w:spacing w:after="0" w:line="240" w:lineRule="auto"/>
      </w:pPr>
      <w:r>
        <w:separator/>
      </w:r>
    </w:p>
  </w:footnote>
  <w:footnote w:type="continuationSeparator" w:id="0">
    <w:p w14:paraId="5B5E4E27" w14:textId="77777777" w:rsidR="00F96E29" w:rsidRDefault="00F96E29" w:rsidP="007123C8">
      <w:pPr>
        <w:spacing w:after="0" w:line="240" w:lineRule="auto"/>
      </w:pPr>
      <w:r>
        <w:continuationSeparator/>
      </w:r>
    </w:p>
  </w:footnote>
  <w:footnote w:id="1">
    <w:p w14:paraId="78DCB417" w14:textId="7B143C87" w:rsidR="00A76B6C" w:rsidRPr="00A76B6C" w:rsidRDefault="003F2DCA" w:rsidP="00A76B6C">
      <w:pPr>
        <w:pStyle w:val="FootnoteText"/>
        <w:rPr>
          <w:rFonts w:asciiTheme="minorHAnsi" w:hAnsiTheme="minorHAnsi" w:cstheme="minorHAnsi"/>
          <w:sz w:val="16"/>
        </w:rPr>
      </w:pPr>
      <w:r w:rsidRPr="003F2DCA">
        <w:rPr>
          <w:rStyle w:val="FootnoteReference"/>
          <w:sz w:val="16"/>
        </w:rPr>
        <w:footnoteRef/>
      </w:r>
      <w:r w:rsidRPr="003F2DCA">
        <w:rPr>
          <w:sz w:val="16"/>
        </w:rPr>
        <w:t xml:space="preserve"> </w:t>
      </w:r>
      <w:r w:rsidR="00A76B6C">
        <w:rPr>
          <w:rFonts w:asciiTheme="minorHAnsi" w:hAnsiTheme="minorHAnsi" w:cstheme="minorHAnsi"/>
          <w:sz w:val="16"/>
        </w:rPr>
        <w:t>O'Neill, J. (2015, December</w:t>
      </w:r>
      <w:r w:rsidR="00A76B6C" w:rsidRPr="00A76B6C">
        <w:rPr>
          <w:rFonts w:asciiTheme="minorHAnsi" w:hAnsiTheme="minorHAnsi" w:cstheme="minorHAnsi"/>
          <w:sz w:val="16"/>
        </w:rPr>
        <w:t xml:space="preserve">). Antimicrobials in Agriculture and the Environment: Reducing Unnecessary Use and Waste. </w:t>
      </w:r>
      <w:r w:rsidR="00A76B6C" w:rsidRPr="00A76B6C">
        <w:rPr>
          <w:rFonts w:asciiTheme="minorHAnsi" w:hAnsiTheme="minorHAnsi" w:cstheme="minorHAnsi"/>
          <w:i/>
          <w:sz w:val="16"/>
        </w:rPr>
        <w:t>The Review on Antimicrobial Resistance</w:t>
      </w:r>
      <w:r w:rsidR="00A76B6C" w:rsidRPr="00A76B6C">
        <w:rPr>
          <w:rFonts w:asciiTheme="minorHAnsi" w:hAnsiTheme="minorHAnsi" w:cstheme="minorHAnsi"/>
          <w:sz w:val="16"/>
        </w:rPr>
        <w:t>. HM Government. Retrieved from https://amr-review.org</w:t>
      </w:r>
    </w:p>
    <w:p w14:paraId="70F5E334" w14:textId="5BEA241E" w:rsidR="003F2DCA" w:rsidRPr="003F2DCA" w:rsidRDefault="003F2DCA">
      <w:pPr>
        <w:pStyle w:val="FootnoteText"/>
        <w:rPr>
          <w:rFonts w:asciiTheme="minorHAnsi" w:hAnsiTheme="minorHAnsi" w:cstheme="minorHAnsi"/>
        </w:rPr>
      </w:pPr>
    </w:p>
  </w:footnote>
  <w:footnote w:id="2">
    <w:p w14:paraId="3A67B796" w14:textId="3DEEC243" w:rsidR="005D2DC8" w:rsidRPr="00147154" w:rsidRDefault="005D2DC8">
      <w:pPr>
        <w:pStyle w:val="FootnoteText"/>
        <w:rPr>
          <w:rFonts w:asciiTheme="minorHAnsi" w:hAnsiTheme="minorHAnsi" w:cstheme="minorHAnsi"/>
          <w:sz w:val="16"/>
          <w:szCs w:val="16"/>
        </w:rPr>
      </w:pPr>
      <w:r w:rsidRPr="00147154">
        <w:rPr>
          <w:rStyle w:val="FootnoteReference"/>
          <w:rFonts w:asciiTheme="minorHAnsi" w:hAnsiTheme="minorHAnsi" w:cstheme="minorHAnsi"/>
          <w:sz w:val="16"/>
          <w:szCs w:val="16"/>
        </w:rPr>
        <w:footnoteRef/>
      </w:r>
      <w:r w:rsidRPr="00147154">
        <w:rPr>
          <w:rFonts w:asciiTheme="minorHAnsi" w:hAnsiTheme="minorHAnsi" w:cstheme="minorHAnsi"/>
          <w:sz w:val="16"/>
          <w:szCs w:val="16"/>
        </w:rPr>
        <w:t xml:space="preserve"> World Health Organization. Antimicrobial resistance: National action plans [Internet]. 2019 [cited 2019 </w:t>
      </w:r>
      <w:r w:rsidR="00147154">
        <w:rPr>
          <w:rFonts w:asciiTheme="minorHAnsi" w:hAnsiTheme="minorHAnsi" w:cstheme="minorHAnsi"/>
          <w:sz w:val="16"/>
          <w:szCs w:val="16"/>
        </w:rPr>
        <w:t>Sep</w:t>
      </w:r>
      <w:r w:rsidRPr="00147154">
        <w:rPr>
          <w:rFonts w:asciiTheme="minorHAnsi" w:hAnsiTheme="minorHAnsi" w:cstheme="minorHAnsi"/>
          <w:sz w:val="16"/>
          <w:szCs w:val="16"/>
        </w:rPr>
        <w:t xml:space="preserve">]. Available from: https://www.who.int/antimicrobial-resistance/national-action-plans/en/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D853E" w14:textId="6C4D3E50" w:rsidR="00F96E29" w:rsidRPr="00A42823" w:rsidRDefault="00F96E29" w:rsidP="00AE30DC">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532B"/>
    <w:multiLevelType w:val="hybridMultilevel"/>
    <w:tmpl w:val="BA38973A"/>
    <w:lvl w:ilvl="0" w:tplc="FEE8AD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67540"/>
    <w:multiLevelType w:val="hybridMultilevel"/>
    <w:tmpl w:val="C3C2A3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6551383"/>
    <w:multiLevelType w:val="hybridMultilevel"/>
    <w:tmpl w:val="8668D0D8"/>
    <w:lvl w:ilvl="0" w:tplc="00507EEC">
      <w:start w:val="1"/>
      <w:numFmt w:val="decimal"/>
      <w:lvlText w:val="%1."/>
      <w:lvlJc w:val="left"/>
      <w:pPr>
        <w:ind w:left="420" w:hanging="360"/>
      </w:pPr>
      <w:rPr>
        <w:rFonts w:ascii="Arial" w:hAnsi="Arial" w:hint="default"/>
        <w:sz w:val="20"/>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3" w15:restartNumberingAfterBreak="0">
    <w:nsid w:val="0893234F"/>
    <w:multiLevelType w:val="hybridMultilevel"/>
    <w:tmpl w:val="72FEE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EF783B"/>
    <w:multiLevelType w:val="hybridMultilevel"/>
    <w:tmpl w:val="FE72139E"/>
    <w:lvl w:ilvl="0" w:tplc="1DBE870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88244C"/>
    <w:multiLevelType w:val="hybridMultilevel"/>
    <w:tmpl w:val="579C69A4"/>
    <w:lvl w:ilvl="0" w:tplc="9940B742">
      <w:start w:val="2019"/>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884FAB"/>
    <w:multiLevelType w:val="hybridMultilevel"/>
    <w:tmpl w:val="45CACE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8F2DD6"/>
    <w:multiLevelType w:val="hybridMultilevel"/>
    <w:tmpl w:val="58E00E66"/>
    <w:lvl w:ilvl="0" w:tplc="0C090001">
      <w:start w:val="1"/>
      <w:numFmt w:val="bullet"/>
      <w:lvlText w:val=""/>
      <w:lvlJc w:val="left"/>
      <w:pPr>
        <w:ind w:left="720" w:hanging="360"/>
      </w:pPr>
      <w:rPr>
        <w:rFonts w:ascii="Symbol" w:hAnsi="Symbol" w:hint="default"/>
      </w:rPr>
    </w:lvl>
    <w:lvl w:ilvl="1" w:tplc="9940B742">
      <w:start w:val="2019"/>
      <w:numFmt w:val="bullet"/>
      <w:lvlText w:val="-"/>
      <w:lvlJc w:val="left"/>
      <w:pPr>
        <w:ind w:left="1440" w:hanging="36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D95549"/>
    <w:multiLevelType w:val="hybridMultilevel"/>
    <w:tmpl w:val="7DA254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D054815"/>
    <w:multiLevelType w:val="hybridMultilevel"/>
    <w:tmpl w:val="FFDAE3CA"/>
    <w:lvl w:ilvl="0" w:tplc="532C1918">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D170E79"/>
    <w:multiLevelType w:val="hybridMultilevel"/>
    <w:tmpl w:val="5E2C3ADA"/>
    <w:lvl w:ilvl="0" w:tplc="251CEB0A">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791FB8"/>
    <w:multiLevelType w:val="hybridMultilevel"/>
    <w:tmpl w:val="CB4CBB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161783C"/>
    <w:multiLevelType w:val="hybridMultilevel"/>
    <w:tmpl w:val="CE9CAB1C"/>
    <w:lvl w:ilvl="0" w:tplc="251CEB0A">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850FF3"/>
    <w:multiLevelType w:val="hybridMultilevel"/>
    <w:tmpl w:val="3CD2B7C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3565A6C"/>
    <w:multiLevelType w:val="hybridMultilevel"/>
    <w:tmpl w:val="90BE5BE0"/>
    <w:lvl w:ilvl="0" w:tplc="054EF520">
      <w:start w:val="1"/>
      <w:numFmt w:val="decimal"/>
      <w:lvlText w:val="%1."/>
      <w:lvlJc w:val="left"/>
      <w:pPr>
        <w:ind w:left="720" w:hanging="360"/>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56D6EBB"/>
    <w:multiLevelType w:val="hybridMultilevel"/>
    <w:tmpl w:val="ABCAE6F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3D30F3"/>
    <w:multiLevelType w:val="hybridMultilevel"/>
    <w:tmpl w:val="37D2CE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0CF3493"/>
    <w:multiLevelType w:val="hybridMultilevel"/>
    <w:tmpl w:val="9084A3D2"/>
    <w:lvl w:ilvl="0" w:tplc="C34EFBE2">
      <w:numFmt w:val="bullet"/>
      <w:lvlText w:val="-"/>
      <w:lvlJc w:val="left"/>
      <w:pPr>
        <w:ind w:left="720" w:hanging="360"/>
      </w:pPr>
      <w:rPr>
        <w:rFonts w:ascii="Cambria" w:eastAsiaTheme="majorEastAsia" w:hAnsi="Cambria"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BEB2AF7"/>
    <w:multiLevelType w:val="hybridMultilevel"/>
    <w:tmpl w:val="767A85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5"/>
  </w:num>
  <w:num w:numId="3">
    <w:abstractNumId w:val="0"/>
  </w:num>
  <w:num w:numId="4">
    <w:abstractNumId w:val="1"/>
  </w:num>
  <w:num w:numId="5">
    <w:abstractNumId w:val="6"/>
  </w:num>
  <w:num w:numId="6">
    <w:abstractNumId w:val="3"/>
  </w:num>
  <w:num w:numId="7">
    <w:abstractNumId w:val="7"/>
  </w:num>
  <w:num w:numId="8">
    <w:abstractNumId w:val="17"/>
  </w:num>
  <w:num w:numId="9">
    <w:abstractNumId w:val="13"/>
  </w:num>
  <w:num w:numId="10">
    <w:abstractNumId w:val="10"/>
  </w:num>
  <w:num w:numId="11">
    <w:abstractNumId w:val="12"/>
  </w:num>
  <w:num w:numId="12">
    <w:abstractNumId w:val="18"/>
  </w:num>
  <w:num w:numId="13">
    <w:abstractNumId w:val="8"/>
  </w:num>
  <w:num w:numId="14">
    <w:abstractNumId w:val="16"/>
  </w:num>
  <w:num w:numId="15">
    <w:abstractNumId w:val="14"/>
  </w:num>
  <w:num w:numId="16">
    <w:abstractNumId w:val="2"/>
  </w:num>
  <w:num w:numId="17">
    <w:abstractNumId w:val="4"/>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3A5"/>
    <w:rsid w:val="000024CA"/>
    <w:rsid w:val="00002AA9"/>
    <w:rsid w:val="00002BFE"/>
    <w:rsid w:val="00010752"/>
    <w:rsid w:val="000142C1"/>
    <w:rsid w:val="0001567D"/>
    <w:rsid w:val="0001658C"/>
    <w:rsid w:val="0001659E"/>
    <w:rsid w:val="00016C4E"/>
    <w:rsid w:val="0002140C"/>
    <w:rsid w:val="00023F3B"/>
    <w:rsid w:val="00024D7F"/>
    <w:rsid w:val="00025098"/>
    <w:rsid w:val="000270BF"/>
    <w:rsid w:val="00032F1C"/>
    <w:rsid w:val="0003359B"/>
    <w:rsid w:val="00034684"/>
    <w:rsid w:val="0003609D"/>
    <w:rsid w:val="00037FC0"/>
    <w:rsid w:val="00043E04"/>
    <w:rsid w:val="000445F9"/>
    <w:rsid w:val="000457A4"/>
    <w:rsid w:val="0004725C"/>
    <w:rsid w:val="000509D2"/>
    <w:rsid w:val="00051B04"/>
    <w:rsid w:val="00052D72"/>
    <w:rsid w:val="0005477D"/>
    <w:rsid w:val="00055B71"/>
    <w:rsid w:val="00055CE3"/>
    <w:rsid w:val="0006046C"/>
    <w:rsid w:val="00060A39"/>
    <w:rsid w:val="000616F2"/>
    <w:rsid w:val="0007009C"/>
    <w:rsid w:val="000718FE"/>
    <w:rsid w:val="00072027"/>
    <w:rsid w:val="00074238"/>
    <w:rsid w:val="00074408"/>
    <w:rsid w:val="00075A94"/>
    <w:rsid w:val="00081828"/>
    <w:rsid w:val="00082FC3"/>
    <w:rsid w:val="0008440C"/>
    <w:rsid w:val="00084864"/>
    <w:rsid w:val="000930D8"/>
    <w:rsid w:val="000936EE"/>
    <w:rsid w:val="000A5BD0"/>
    <w:rsid w:val="000A633D"/>
    <w:rsid w:val="000A71A7"/>
    <w:rsid w:val="000B7888"/>
    <w:rsid w:val="000C4C2B"/>
    <w:rsid w:val="000C51C9"/>
    <w:rsid w:val="000D2178"/>
    <w:rsid w:val="000D3FF5"/>
    <w:rsid w:val="000D6475"/>
    <w:rsid w:val="000D7B93"/>
    <w:rsid w:val="000E5300"/>
    <w:rsid w:val="000E6519"/>
    <w:rsid w:val="000E78F1"/>
    <w:rsid w:val="000F134E"/>
    <w:rsid w:val="000F1C18"/>
    <w:rsid w:val="000F48FC"/>
    <w:rsid w:val="000F6574"/>
    <w:rsid w:val="000F7AC8"/>
    <w:rsid w:val="000F7FBD"/>
    <w:rsid w:val="00100064"/>
    <w:rsid w:val="00100273"/>
    <w:rsid w:val="001017E2"/>
    <w:rsid w:val="00104585"/>
    <w:rsid w:val="001051D9"/>
    <w:rsid w:val="00105490"/>
    <w:rsid w:val="00110040"/>
    <w:rsid w:val="001107B3"/>
    <w:rsid w:val="00110B90"/>
    <w:rsid w:val="00111DBE"/>
    <w:rsid w:val="00112818"/>
    <w:rsid w:val="001161F1"/>
    <w:rsid w:val="00116341"/>
    <w:rsid w:val="00116A88"/>
    <w:rsid w:val="00117611"/>
    <w:rsid w:val="00120FF5"/>
    <w:rsid w:val="00121A08"/>
    <w:rsid w:val="0012239C"/>
    <w:rsid w:val="001249F3"/>
    <w:rsid w:val="001264FE"/>
    <w:rsid w:val="00130C08"/>
    <w:rsid w:val="001341B0"/>
    <w:rsid w:val="0013495B"/>
    <w:rsid w:val="00134AA4"/>
    <w:rsid w:val="001373D2"/>
    <w:rsid w:val="00137872"/>
    <w:rsid w:val="00137972"/>
    <w:rsid w:val="00137BEA"/>
    <w:rsid w:val="00145B20"/>
    <w:rsid w:val="00147154"/>
    <w:rsid w:val="00150989"/>
    <w:rsid w:val="00150A82"/>
    <w:rsid w:val="00155762"/>
    <w:rsid w:val="00157DC9"/>
    <w:rsid w:val="0016088C"/>
    <w:rsid w:val="00160D19"/>
    <w:rsid w:val="0016203B"/>
    <w:rsid w:val="00166396"/>
    <w:rsid w:val="00174C21"/>
    <w:rsid w:val="00177975"/>
    <w:rsid w:val="00177BE7"/>
    <w:rsid w:val="0018027E"/>
    <w:rsid w:val="00183DB2"/>
    <w:rsid w:val="001842D8"/>
    <w:rsid w:val="001850F6"/>
    <w:rsid w:val="00185FA8"/>
    <w:rsid w:val="001865B9"/>
    <w:rsid w:val="001867D5"/>
    <w:rsid w:val="0018763D"/>
    <w:rsid w:val="001903C5"/>
    <w:rsid w:val="00190644"/>
    <w:rsid w:val="00190DCE"/>
    <w:rsid w:val="001910C8"/>
    <w:rsid w:val="00191CC0"/>
    <w:rsid w:val="001921FE"/>
    <w:rsid w:val="0019278A"/>
    <w:rsid w:val="001973B8"/>
    <w:rsid w:val="00197AB5"/>
    <w:rsid w:val="001A00F0"/>
    <w:rsid w:val="001A0239"/>
    <w:rsid w:val="001A1B73"/>
    <w:rsid w:val="001A621B"/>
    <w:rsid w:val="001A7836"/>
    <w:rsid w:val="001A799F"/>
    <w:rsid w:val="001B114E"/>
    <w:rsid w:val="001B433D"/>
    <w:rsid w:val="001B776E"/>
    <w:rsid w:val="001C0B81"/>
    <w:rsid w:val="001C10CA"/>
    <w:rsid w:val="001C4387"/>
    <w:rsid w:val="001C715A"/>
    <w:rsid w:val="001C7C77"/>
    <w:rsid w:val="001D13B8"/>
    <w:rsid w:val="001D1D37"/>
    <w:rsid w:val="001D2C04"/>
    <w:rsid w:val="001D3F65"/>
    <w:rsid w:val="001D3F68"/>
    <w:rsid w:val="001D564E"/>
    <w:rsid w:val="001D5F4C"/>
    <w:rsid w:val="001E246D"/>
    <w:rsid w:val="001E4CDC"/>
    <w:rsid w:val="001E51FF"/>
    <w:rsid w:val="001F133B"/>
    <w:rsid w:val="001F1652"/>
    <w:rsid w:val="00200806"/>
    <w:rsid w:val="002009F4"/>
    <w:rsid w:val="0020549F"/>
    <w:rsid w:val="00206CD2"/>
    <w:rsid w:val="002078D9"/>
    <w:rsid w:val="00210078"/>
    <w:rsid w:val="0021218A"/>
    <w:rsid w:val="00212A64"/>
    <w:rsid w:val="0021699A"/>
    <w:rsid w:val="00222D41"/>
    <w:rsid w:val="0022358F"/>
    <w:rsid w:val="00223D33"/>
    <w:rsid w:val="00225110"/>
    <w:rsid w:val="002257A7"/>
    <w:rsid w:val="00231A68"/>
    <w:rsid w:val="00232CB3"/>
    <w:rsid w:val="002343D3"/>
    <w:rsid w:val="002349D0"/>
    <w:rsid w:val="00234E19"/>
    <w:rsid w:val="00237A9C"/>
    <w:rsid w:val="00240228"/>
    <w:rsid w:val="0024121C"/>
    <w:rsid w:val="00242917"/>
    <w:rsid w:val="00242A15"/>
    <w:rsid w:val="00245F05"/>
    <w:rsid w:val="00246911"/>
    <w:rsid w:val="00246A7B"/>
    <w:rsid w:val="002504F9"/>
    <w:rsid w:val="00252DAB"/>
    <w:rsid w:val="00253BFC"/>
    <w:rsid w:val="00255825"/>
    <w:rsid w:val="0025584D"/>
    <w:rsid w:val="00255B1C"/>
    <w:rsid w:val="002573C9"/>
    <w:rsid w:val="002618FF"/>
    <w:rsid w:val="002627C5"/>
    <w:rsid w:val="00262DD0"/>
    <w:rsid w:val="00263B9C"/>
    <w:rsid w:val="00263EBC"/>
    <w:rsid w:val="002707E4"/>
    <w:rsid w:val="0027277D"/>
    <w:rsid w:val="00273DED"/>
    <w:rsid w:val="00274018"/>
    <w:rsid w:val="002743FD"/>
    <w:rsid w:val="00274F21"/>
    <w:rsid w:val="00280881"/>
    <w:rsid w:val="00281225"/>
    <w:rsid w:val="00283AE4"/>
    <w:rsid w:val="00284A89"/>
    <w:rsid w:val="00284ECA"/>
    <w:rsid w:val="002853EF"/>
    <w:rsid w:val="00291503"/>
    <w:rsid w:val="0029482C"/>
    <w:rsid w:val="00294A03"/>
    <w:rsid w:val="0029559D"/>
    <w:rsid w:val="0029684F"/>
    <w:rsid w:val="002A00D8"/>
    <w:rsid w:val="002A0D36"/>
    <w:rsid w:val="002A142C"/>
    <w:rsid w:val="002A23B6"/>
    <w:rsid w:val="002A68FB"/>
    <w:rsid w:val="002B004A"/>
    <w:rsid w:val="002B168B"/>
    <w:rsid w:val="002B3C7F"/>
    <w:rsid w:val="002B735B"/>
    <w:rsid w:val="002C24F0"/>
    <w:rsid w:val="002C2F12"/>
    <w:rsid w:val="002C3F8E"/>
    <w:rsid w:val="002C5587"/>
    <w:rsid w:val="002C6425"/>
    <w:rsid w:val="002C7557"/>
    <w:rsid w:val="002E19C9"/>
    <w:rsid w:val="002E2D00"/>
    <w:rsid w:val="002F31CE"/>
    <w:rsid w:val="002F57A3"/>
    <w:rsid w:val="002F724C"/>
    <w:rsid w:val="002F726E"/>
    <w:rsid w:val="002F73FA"/>
    <w:rsid w:val="002F7C54"/>
    <w:rsid w:val="00301AD7"/>
    <w:rsid w:val="00302772"/>
    <w:rsid w:val="00303AF1"/>
    <w:rsid w:val="003058CD"/>
    <w:rsid w:val="00306E88"/>
    <w:rsid w:val="00313AA8"/>
    <w:rsid w:val="0031478C"/>
    <w:rsid w:val="00320CAA"/>
    <w:rsid w:val="003213D4"/>
    <w:rsid w:val="00323587"/>
    <w:rsid w:val="00330E2B"/>
    <w:rsid w:val="00332E02"/>
    <w:rsid w:val="00334096"/>
    <w:rsid w:val="00334488"/>
    <w:rsid w:val="00335395"/>
    <w:rsid w:val="00340212"/>
    <w:rsid w:val="00346324"/>
    <w:rsid w:val="00363C10"/>
    <w:rsid w:val="003656AA"/>
    <w:rsid w:val="00367FB0"/>
    <w:rsid w:val="003707F6"/>
    <w:rsid w:val="0037274A"/>
    <w:rsid w:val="00374E55"/>
    <w:rsid w:val="003759AD"/>
    <w:rsid w:val="00377FCE"/>
    <w:rsid w:val="00384B4A"/>
    <w:rsid w:val="00385476"/>
    <w:rsid w:val="00387581"/>
    <w:rsid w:val="003876E4"/>
    <w:rsid w:val="00390DF1"/>
    <w:rsid w:val="00392ED4"/>
    <w:rsid w:val="003961D3"/>
    <w:rsid w:val="0039682B"/>
    <w:rsid w:val="003979FE"/>
    <w:rsid w:val="00397A63"/>
    <w:rsid w:val="003A1EFF"/>
    <w:rsid w:val="003A270F"/>
    <w:rsid w:val="003A55AE"/>
    <w:rsid w:val="003A7B8D"/>
    <w:rsid w:val="003A7D21"/>
    <w:rsid w:val="003B0B84"/>
    <w:rsid w:val="003B2E05"/>
    <w:rsid w:val="003B4031"/>
    <w:rsid w:val="003B45AA"/>
    <w:rsid w:val="003B7088"/>
    <w:rsid w:val="003C384D"/>
    <w:rsid w:val="003C6A7B"/>
    <w:rsid w:val="003C7FCD"/>
    <w:rsid w:val="003D42B3"/>
    <w:rsid w:val="003E072A"/>
    <w:rsid w:val="003E295F"/>
    <w:rsid w:val="003E2CD2"/>
    <w:rsid w:val="003E30CD"/>
    <w:rsid w:val="003E3190"/>
    <w:rsid w:val="003E3D92"/>
    <w:rsid w:val="003E5927"/>
    <w:rsid w:val="003E6A0B"/>
    <w:rsid w:val="003E6A1D"/>
    <w:rsid w:val="003F0B2E"/>
    <w:rsid w:val="003F0D6E"/>
    <w:rsid w:val="003F18EC"/>
    <w:rsid w:val="003F2DCA"/>
    <w:rsid w:val="003F2DFB"/>
    <w:rsid w:val="003F5C15"/>
    <w:rsid w:val="003F6B3C"/>
    <w:rsid w:val="00400546"/>
    <w:rsid w:val="00400E22"/>
    <w:rsid w:val="0040101D"/>
    <w:rsid w:val="0040328D"/>
    <w:rsid w:val="00410C6A"/>
    <w:rsid w:val="00410E97"/>
    <w:rsid w:val="00411DA8"/>
    <w:rsid w:val="0041386E"/>
    <w:rsid w:val="0041523A"/>
    <w:rsid w:val="00416CF5"/>
    <w:rsid w:val="00423A96"/>
    <w:rsid w:val="004244F2"/>
    <w:rsid w:val="0042493E"/>
    <w:rsid w:val="00425073"/>
    <w:rsid w:val="00426025"/>
    <w:rsid w:val="00427A00"/>
    <w:rsid w:val="00430B6C"/>
    <w:rsid w:val="00431238"/>
    <w:rsid w:val="00431E65"/>
    <w:rsid w:val="0043292A"/>
    <w:rsid w:val="00436199"/>
    <w:rsid w:val="00441153"/>
    <w:rsid w:val="00441E09"/>
    <w:rsid w:val="00443D36"/>
    <w:rsid w:val="004444B8"/>
    <w:rsid w:val="00445018"/>
    <w:rsid w:val="0044560F"/>
    <w:rsid w:val="00445775"/>
    <w:rsid w:val="00445B31"/>
    <w:rsid w:val="0044600E"/>
    <w:rsid w:val="00450C53"/>
    <w:rsid w:val="004527E1"/>
    <w:rsid w:val="00455DD3"/>
    <w:rsid w:val="00455EB5"/>
    <w:rsid w:val="00456520"/>
    <w:rsid w:val="0046157A"/>
    <w:rsid w:val="00462F2A"/>
    <w:rsid w:val="00464289"/>
    <w:rsid w:val="00464FB7"/>
    <w:rsid w:val="00467D5D"/>
    <w:rsid w:val="004718D3"/>
    <w:rsid w:val="00475443"/>
    <w:rsid w:val="00475F32"/>
    <w:rsid w:val="00480608"/>
    <w:rsid w:val="004832ED"/>
    <w:rsid w:val="00483896"/>
    <w:rsid w:val="004920D2"/>
    <w:rsid w:val="00492178"/>
    <w:rsid w:val="0049321A"/>
    <w:rsid w:val="004A34B2"/>
    <w:rsid w:val="004A3753"/>
    <w:rsid w:val="004A538C"/>
    <w:rsid w:val="004A7493"/>
    <w:rsid w:val="004B1915"/>
    <w:rsid w:val="004B3680"/>
    <w:rsid w:val="004B5E3B"/>
    <w:rsid w:val="004B66F6"/>
    <w:rsid w:val="004C2510"/>
    <w:rsid w:val="004C5A38"/>
    <w:rsid w:val="004C6F60"/>
    <w:rsid w:val="004C789F"/>
    <w:rsid w:val="004D196F"/>
    <w:rsid w:val="004E18F0"/>
    <w:rsid w:val="004E23E6"/>
    <w:rsid w:val="004E247C"/>
    <w:rsid w:val="004E32A4"/>
    <w:rsid w:val="004E32AB"/>
    <w:rsid w:val="004E5423"/>
    <w:rsid w:val="004E74F2"/>
    <w:rsid w:val="004F027C"/>
    <w:rsid w:val="004F2A39"/>
    <w:rsid w:val="0050115F"/>
    <w:rsid w:val="00501940"/>
    <w:rsid w:val="00501D84"/>
    <w:rsid w:val="00506CE2"/>
    <w:rsid w:val="0050766B"/>
    <w:rsid w:val="00507C52"/>
    <w:rsid w:val="00515634"/>
    <w:rsid w:val="005175A0"/>
    <w:rsid w:val="00517995"/>
    <w:rsid w:val="00517F26"/>
    <w:rsid w:val="00524A14"/>
    <w:rsid w:val="00525654"/>
    <w:rsid w:val="00527D74"/>
    <w:rsid w:val="0053075D"/>
    <w:rsid w:val="00532264"/>
    <w:rsid w:val="00534561"/>
    <w:rsid w:val="0053621E"/>
    <w:rsid w:val="005362B6"/>
    <w:rsid w:val="00536939"/>
    <w:rsid w:val="005373AA"/>
    <w:rsid w:val="00541CEA"/>
    <w:rsid w:val="00542A41"/>
    <w:rsid w:val="005444F1"/>
    <w:rsid w:val="00544B9A"/>
    <w:rsid w:val="005451F7"/>
    <w:rsid w:val="0054777E"/>
    <w:rsid w:val="00554879"/>
    <w:rsid w:val="0055514F"/>
    <w:rsid w:val="00555454"/>
    <w:rsid w:val="00557078"/>
    <w:rsid w:val="005574FA"/>
    <w:rsid w:val="0056012E"/>
    <w:rsid w:val="00561FEF"/>
    <w:rsid w:val="00562DE6"/>
    <w:rsid w:val="00563769"/>
    <w:rsid w:val="00564192"/>
    <w:rsid w:val="005651CE"/>
    <w:rsid w:val="00567C04"/>
    <w:rsid w:val="00570926"/>
    <w:rsid w:val="00571237"/>
    <w:rsid w:val="005723F2"/>
    <w:rsid w:val="00572458"/>
    <w:rsid w:val="00572707"/>
    <w:rsid w:val="0057413A"/>
    <w:rsid w:val="00575FD2"/>
    <w:rsid w:val="00580023"/>
    <w:rsid w:val="00580BBB"/>
    <w:rsid w:val="00580C34"/>
    <w:rsid w:val="00583822"/>
    <w:rsid w:val="00584493"/>
    <w:rsid w:val="0058457E"/>
    <w:rsid w:val="00587F11"/>
    <w:rsid w:val="00592553"/>
    <w:rsid w:val="00594B19"/>
    <w:rsid w:val="005A243D"/>
    <w:rsid w:val="005A3106"/>
    <w:rsid w:val="005A4FA2"/>
    <w:rsid w:val="005A5C7B"/>
    <w:rsid w:val="005B1D11"/>
    <w:rsid w:val="005B1F1E"/>
    <w:rsid w:val="005B2761"/>
    <w:rsid w:val="005B29BC"/>
    <w:rsid w:val="005B3F26"/>
    <w:rsid w:val="005B42C0"/>
    <w:rsid w:val="005B68A9"/>
    <w:rsid w:val="005B7BBC"/>
    <w:rsid w:val="005C0DE6"/>
    <w:rsid w:val="005C16B4"/>
    <w:rsid w:val="005C62AD"/>
    <w:rsid w:val="005D21F4"/>
    <w:rsid w:val="005D2DC8"/>
    <w:rsid w:val="005D4F8C"/>
    <w:rsid w:val="005D56E3"/>
    <w:rsid w:val="005D5B8B"/>
    <w:rsid w:val="005E2E23"/>
    <w:rsid w:val="005E52A2"/>
    <w:rsid w:val="005E6A00"/>
    <w:rsid w:val="005E6BD6"/>
    <w:rsid w:val="005E6FD0"/>
    <w:rsid w:val="005E7E7C"/>
    <w:rsid w:val="005F3FBF"/>
    <w:rsid w:val="005F4925"/>
    <w:rsid w:val="005F7227"/>
    <w:rsid w:val="005F75C9"/>
    <w:rsid w:val="005F7656"/>
    <w:rsid w:val="006017C1"/>
    <w:rsid w:val="0060357E"/>
    <w:rsid w:val="00612DCA"/>
    <w:rsid w:val="006136DE"/>
    <w:rsid w:val="006159DA"/>
    <w:rsid w:val="0061713A"/>
    <w:rsid w:val="00620798"/>
    <w:rsid w:val="0062142A"/>
    <w:rsid w:val="0062277F"/>
    <w:rsid w:val="00624433"/>
    <w:rsid w:val="00625916"/>
    <w:rsid w:val="00626C79"/>
    <w:rsid w:val="006279A7"/>
    <w:rsid w:val="00631274"/>
    <w:rsid w:val="00632E28"/>
    <w:rsid w:val="0063375B"/>
    <w:rsid w:val="00633D41"/>
    <w:rsid w:val="006345A3"/>
    <w:rsid w:val="00635A9D"/>
    <w:rsid w:val="00637C31"/>
    <w:rsid w:val="00640A3E"/>
    <w:rsid w:val="00640D94"/>
    <w:rsid w:val="00641B04"/>
    <w:rsid w:val="0064203A"/>
    <w:rsid w:val="006441D1"/>
    <w:rsid w:val="00652692"/>
    <w:rsid w:val="0065574C"/>
    <w:rsid w:val="00664059"/>
    <w:rsid w:val="00666DF7"/>
    <w:rsid w:val="00677D97"/>
    <w:rsid w:val="006800CF"/>
    <w:rsid w:val="00682E15"/>
    <w:rsid w:val="00683D5F"/>
    <w:rsid w:val="006866D5"/>
    <w:rsid w:val="0069017C"/>
    <w:rsid w:val="0069495A"/>
    <w:rsid w:val="00694F87"/>
    <w:rsid w:val="006A0244"/>
    <w:rsid w:val="006A49C4"/>
    <w:rsid w:val="006A7ED6"/>
    <w:rsid w:val="006B3D04"/>
    <w:rsid w:val="006B7C97"/>
    <w:rsid w:val="006C0424"/>
    <w:rsid w:val="006C043D"/>
    <w:rsid w:val="006C0C6B"/>
    <w:rsid w:val="006C2D24"/>
    <w:rsid w:val="006C3534"/>
    <w:rsid w:val="006C41CD"/>
    <w:rsid w:val="006C42C4"/>
    <w:rsid w:val="006D04E2"/>
    <w:rsid w:val="006D34F5"/>
    <w:rsid w:val="006D6354"/>
    <w:rsid w:val="006E255B"/>
    <w:rsid w:val="006E3F81"/>
    <w:rsid w:val="006E730B"/>
    <w:rsid w:val="006E76BC"/>
    <w:rsid w:val="006E79CD"/>
    <w:rsid w:val="006E7AC0"/>
    <w:rsid w:val="006F1760"/>
    <w:rsid w:val="006F261F"/>
    <w:rsid w:val="006F2E92"/>
    <w:rsid w:val="006F4F62"/>
    <w:rsid w:val="006F5B19"/>
    <w:rsid w:val="006F5D7B"/>
    <w:rsid w:val="006F6897"/>
    <w:rsid w:val="007001A3"/>
    <w:rsid w:val="007004B1"/>
    <w:rsid w:val="007004EF"/>
    <w:rsid w:val="00703477"/>
    <w:rsid w:val="0070633E"/>
    <w:rsid w:val="00712197"/>
    <w:rsid w:val="007121A0"/>
    <w:rsid w:val="007123C8"/>
    <w:rsid w:val="00713CDD"/>
    <w:rsid w:val="007147FF"/>
    <w:rsid w:val="00717334"/>
    <w:rsid w:val="00720BFA"/>
    <w:rsid w:val="00721438"/>
    <w:rsid w:val="00725568"/>
    <w:rsid w:val="007256D3"/>
    <w:rsid w:val="007264F9"/>
    <w:rsid w:val="007266C6"/>
    <w:rsid w:val="00731327"/>
    <w:rsid w:val="00737D20"/>
    <w:rsid w:val="0074275B"/>
    <w:rsid w:val="00742E84"/>
    <w:rsid w:val="00744627"/>
    <w:rsid w:val="00750493"/>
    <w:rsid w:val="00751433"/>
    <w:rsid w:val="00756407"/>
    <w:rsid w:val="00756B39"/>
    <w:rsid w:val="007570D4"/>
    <w:rsid w:val="00763AB5"/>
    <w:rsid w:val="00763E29"/>
    <w:rsid w:val="00766A08"/>
    <w:rsid w:val="00766FDC"/>
    <w:rsid w:val="00770D08"/>
    <w:rsid w:val="00771E3A"/>
    <w:rsid w:val="0077230A"/>
    <w:rsid w:val="00772E66"/>
    <w:rsid w:val="00773070"/>
    <w:rsid w:val="00774D53"/>
    <w:rsid w:val="007761E7"/>
    <w:rsid w:val="00777AE3"/>
    <w:rsid w:val="00782490"/>
    <w:rsid w:val="007827C8"/>
    <w:rsid w:val="00783661"/>
    <w:rsid w:val="00783A76"/>
    <w:rsid w:val="007854FA"/>
    <w:rsid w:val="007879A9"/>
    <w:rsid w:val="0079408C"/>
    <w:rsid w:val="007A180E"/>
    <w:rsid w:val="007A19E1"/>
    <w:rsid w:val="007A1CD6"/>
    <w:rsid w:val="007A5DCB"/>
    <w:rsid w:val="007B0B51"/>
    <w:rsid w:val="007B120D"/>
    <w:rsid w:val="007B1C67"/>
    <w:rsid w:val="007B7001"/>
    <w:rsid w:val="007B7CA4"/>
    <w:rsid w:val="007C04EB"/>
    <w:rsid w:val="007C0C69"/>
    <w:rsid w:val="007C0DC3"/>
    <w:rsid w:val="007C15E3"/>
    <w:rsid w:val="007C1F32"/>
    <w:rsid w:val="007C434C"/>
    <w:rsid w:val="007C4977"/>
    <w:rsid w:val="007C5656"/>
    <w:rsid w:val="007D2F5A"/>
    <w:rsid w:val="007D5902"/>
    <w:rsid w:val="007D7074"/>
    <w:rsid w:val="007E04B7"/>
    <w:rsid w:val="007E1B82"/>
    <w:rsid w:val="007E1D66"/>
    <w:rsid w:val="007E2029"/>
    <w:rsid w:val="007E2BBE"/>
    <w:rsid w:val="007F1207"/>
    <w:rsid w:val="007F2013"/>
    <w:rsid w:val="007F4427"/>
    <w:rsid w:val="007F480B"/>
    <w:rsid w:val="007F68A1"/>
    <w:rsid w:val="007F7D02"/>
    <w:rsid w:val="0080060E"/>
    <w:rsid w:val="008023B5"/>
    <w:rsid w:val="00803A8F"/>
    <w:rsid w:val="00805B5A"/>
    <w:rsid w:val="00807BDB"/>
    <w:rsid w:val="008114A4"/>
    <w:rsid w:val="0081207F"/>
    <w:rsid w:val="0081527B"/>
    <w:rsid w:val="00815A6E"/>
    <w:rsid w:val="00820E5C"/>
    <w:rsid w:val="00821CB2"/>
    <w:rsid w:val="00822983"/>
    <w:rsid w:val="00823DFE"/>
    <w:rsid w:val="00824233"/>
    <w:rsid w:val="008251BB"/>
    <w:rsid w:val="00825A19"/>
    <w:rsid w:val="0082746C"/>
    <w:rsid w:val="00827C65"/>
    <w:rsid w:val="008329A9"/>
    <w:rsid w:val="00835271"/>
    <w:rsid w:val="00843AE5"/>
    <w:rsid w:val="0084487C"/>
    <w:rsid w:val="00845A35"/>
    <w:rsid w:val="00846737"/>
    <w:rsid w:val="00846E3A"/>
    <w:rsid w:val="00851A22"/>
    <w:rsid w:val="008540AD"/>
    <w:rsid w:val="00855AC1"/>
    <w:rsid w:val="00862842"/>
    <w:rsid w:val="008643DA"/>
    <w:rsid w:val="00864FED"/>
    <w:rsid w:val="00877591"/>
    <w:rsid w:val="0088161E"/>
    <w:rsid w:val="00882105"/>
    <w:rsid w:val="00882956"/>
    <w:rsid w:val="00883922"/>
    <w:rsid w:val="008839BB"/>
    <w:rsid w:val="0088406C"/>
    <w:rsid w:val="00884E4A"/>
    <w:rsid w:val="00887752"/>
    <w:rsid w:val="00890A6B"/>
    <w:rsid w:val="00890C62"/>
    <w:rsid w:val="00893651"/>
    <w:rsid w:val="008936A0"/>
    <w:rsid w:val="008945F7"/>
    <w:rsid w:val="00894740"/>
    <w:rsid w:val="0089571B"/>
    <w:rsid w:val="008966DD"/>
    <w:rsid w:val="00897DA3"/>
    <w:rsid w:val="00897FFE"/>
    <w:rsid w:val="008A0262"/>
    <w:rsid w:val="008A0E97"/>
    <w:rsid w:val="008A4D21"/>
    <w:rsid w:val="008A61EA"/>
    <w:rsid w:val="008A6B92"/>
    <w:rsid w:val="008A6D60"/>
    <w:rsid w:val="008A7B20"/>
    <w:rsid w:val="008A7C54"/>
    <w:rsid w:val="008B2A0D"/>
    <w:rsid w:val="008B4013"/>
    <w:rsid w:val="008C0D73"/>
    <w:rsid w:val="008C21F6"/>
    <w:rsid w:val="008C2BB0"/>
    <w:rsid w:val="008C2C79"/>
    <w:rsid w:val="008C3900"/>
    <w:rsid w:val="008C5643"/>
    <w:rsid w:val="008D5844"/>
    <w:rsid w:val="008D602F"/>
    <w:rsid w:val="008D6703"/>
    <w:rsid w:val="008D7AFD"/>
    <w:rsid w:val="008E08E4"/>
    <w:rsid w:val="008E1AE5"/>
    <w:rsid w:val="008E3AD8"/>
    <w:rsid w:val="008E3D15"/>
    <w:rsid w:val="008E4E12"/>
    <w:rsid w:val="008E780F"/>
    <w:rsid w:val="008F1ADF"/>
    <w:rsid w:val="008F5286"/>
    <w:rsid w:val="009010EF"/>
    <w:rsid w:val="00907672"/>
    <w:rsid w:val="00907741"/>
    <w:rsid w:val="009145A1"/>
    <w:rsid w:val="009170B7"/>
    <w:rsid w:val="009200D2"/>
    <w:rsid w:val="00924A2A"/>
    <w:rsid w:val="00930229"/>
    <w:rsid w:val="00933987"/>
    <w:rsid w:val="009402BF"/>
    <w:rsid w:val="0094086C"/>
    <w:rsid w:val="00942666"/>
    <w:rsid w:val="00945BF7"/>
    <w:rsid w:val="009466F6"/>
    <w:rsid w:val="009500CD"/>
    <w:rsid w:val="00960126"/>
    <w:rsid w:val="009646C6"/>
    <w:rsid w:val="00964A3B"/>
    <w:rsid w:val="009659AF"/>
    <w:rsid w:val="0097338B"/>
    <w:rsid w:val="00974E24"/>
    <w:rsid w:val="00976624"/>
    <w:rsid w:val="0098098E"/>
    <w:rsid w:val="00983D46"/>
    <w:rsid w:val="009927E2"/>
    <w:rsid w:val="009966C3"/>
    <w:rsid w:val="00996C80"/>
    <w:rsid w:val="00997E45"/>
    <w:rsid w:val="009A0DAB"/>
    <w:rsid w:val="009A0EA6"/>
    <w:rsid w:val="009A1996"/>
    <w:rsid w:val="009A2888"/>
    <w:rsid w:val="009A2C66"/>
    <w:rsid w:val="009A5BDA"/>
    <w:rsid w:val="009A6A4F"/>
    <w:rsid w:val="009B0128"/>
    <w:rsid w:val="009B08CC"/>
    <w:rsid w:val="009B6E79"/>
    <w:rsid w:val="009B71B7"/>
    <w:rsid w:val="009C2A44"/>
    <w:rsid w:val="009C2E9A"/>
    <w:rsid w:val="009C36CF"/>
    <w:rsid w:val="009C4790"/>
    <w:rsid w:val="009C4DDC"/>
    <w:rsid w:val="009C7B8F"/>
    <w:rsid w:val="009D09EC"/>
    <w:rsid w:val="009D0CCA"/>
    <w:rsid w:val="009E07CA"/>
    <w:rsid w:val="009E2314"/>
    <w:rsid w:val="009E4956"/>
    <w:rsid w:val="009E5D13"/>
    <w:rsid w:val="009F03EA"/>
    <w:rsid w:val="009F096C"/>
    <w:rsid w:val="009F251B"/>
    <w:rsid w:val="009F2AD2"/>
    <w:rsid w:val="009F3F80"/>
    <w:rsid w:val="009F5CA6"/>
    <w:rsid w:val="009F5F07"/>
    <w:rsid w:val="009F7EF0"/>
    <w:rsid w:val="00A06143"/>
    <w:rsid w:val="00A11499"/>
    <w:rsid w:val="00A141ED"/>
    <w:rsid w:val="00A15BEA"/>
    <w:rsid w:val="00A17C83"/>
    <w:rsid w:val="00A17E8B"/>
    <w:rsid w:val="00A2327F"/>
    <w:rsid w:val="00A23B61"/>
    <w:rsid w:val="00A24728"/>
    <w:rsid w:val="00A24C1B"/>
    <w:rsid w:val="00A25266"/>
    <w:rsid w:val="00A25CFC"/>
    <w:rsid w:val="00A25E30"/>
    <w:rsid w:val="00A3033B"/>
    <w:rsid w:val="00A30D79"/>
    <w:rsid w:val="00A32F27"/>
    <w:rsid w:val="00A34E26"/>
    <w:rsid w:val="00A35F96"/>
    <w:rsid w:val="00A36853"/>
    <w:rsid w:val="00A42823"/>
    <w:rsid w:val="00A43B32"/>
    <w:rsid w:val="00A447DF"/>
    <w:rsid w:val="00A45616"/>
    <w:rsid w:val="00A50D5C"/>
    <w:rsid w:val="00A51A40"/>
    <w:rsid w:val="00A527D8"/>
    <w:rsid w:val="00A532BF"/>
    <w:rsid w:val="00A556DF"/>
    <w:rsid w:val="00A6048F"/>
    <w:rsid w:val="00A60D05"/>
    <w:rsid w:val="00A635EA"/>
    <w:rsid w:val="00A63B7A"/>
    <w:rsid w:val="00A653A3"/>
    <w:rsid w:val="00A70E96"/>
    <w:rsid w:val="00A72733"/>
    <w:rsid w:val="00A728AC"/>
    <w:rsid w:val="00A74C53"/>
    <w:rsid w:val="00A76B6C"/>
    <w:rsid w:val="00A77060"/>
    <w:rsid w:val="00A80483"/>
    <w:rsid w:val="00A82226"/>
    <w:rsid w:val="00A84EE9"/>
    <w:rsid w:val="00A859A8"/>
    <w:rsid w:val="00A87E41"/>
    <w:rsid w:val="00A96883"/>
    <w:rsid w:val="00AA09D4"/>
    <w:rsid w:val="00AA1C4F"/>
    <w:rsid w:val="00AA301D"/>
    <w:rsid w:val="00AA498E"/>
    <w:rsid w:val="00AA5D88"/>
    <w:rsid w:val="00AA7A6E"/>
    <w:rsid w:val="00AB12FA"/>
    <w:rsid w:val="00AB13A5"/>
    <w:rsid w:val="00AB13D6"/>
    <w:rsid w:val="00AB24D7"/>
    <w:rsid w:val="00AB4E7F"/>
    <w:rsid w:val="00AB7D5D"/>
    <w:rsid w:val="00AC1127"/>
    <w:rsid w:val="00AD0C72"/>
    <w:rsid w:val="00AD7E3A"/>
    <w:rsid w:val="00AE2DF9"/>
    <w:rsid w:val="00AE30DC"/>
    <w:rsid w:val="00AE386E"/>
    <w:rsid w:val="00AE6DE4"/>
    <w:rsid w:val="00AF233E"/>
    <w:rsid w:val="00AF2500"/>
    <w:rsid w:val="00AF3835"/>
    <w:rsid w:val="00AF6043"/>
    <w:rsid w:val="00B026F8"/>
    <w:rsid w:val="00B03D6D"/>
    <w:rsid w:val="00B0426C"/>
    <w:rsid w:val="00B066E5"/>
    <w:rsid w:val="00B10E86"/>
    <w:rsid w:val="00B11CF4"/>
    <w:rsid w:val="00B16BB3"/>
    <w:rsid w:val="00B16DAE"/>
    <w:rsid w:val="00B20417"/>
    <w:rsid w:val="00B21665"/>
    <w:rsid w:val="00B22770"/>
    <w:rsid w:val="00B26DEB"/>
    <w:rsid w:val="00B30502"/>
    <w:rsid w:val="00B33A21"/>
    <w:rsid w:val="00B36B00"/>
    <w:rsid w:val="00B36DB0"/>
    <w:rsid w:val="00B377D6"/>
    <w:rsid w:val="00B45008"/>
    <w:rsid w:val="00B45DEB"/>
    <w:rsid w:val="00B46021"/>
    <w:rsid w:val="00B474F8"/>
    <w:rsid w:val="00B51B5E"/>
    <w:rsid w:val="00B52F01"/>
    <w:rsid w:val="00B55094"/>
    <w:rsid w:val="00B55D2B"/>
    <w:rsid w:val="00B56D00"/>
    <w:rsid w:val="00B57D17"/>
    <w:rsid w:val="00B62BB8"/>
    <w:rsid w:val="00B63191"/>
    <w:rsid w:val="00B658B6"/>
    <w:rsid w:val="00B664AF"/>
    <w:rsid w:val="00B718BA"/>
    <w:rsid w:val="00B72280"/>
    <w:rsid w:val="00B8192C"/>
    <w:rsid w:val="00B83627"/>
    <w:rsid w:val="00B847F2"/>
    <w:rsid w:val="00B8777E"/>
    <w:rsid w:val="00B90281"/>
    <w:rsid w:val="00B9049F"/>
    <w:rsid w:val="00B9243C"/>
    <w:rsid w:val="00B96C10"/>
    <w:rsid w:val="00BA1DF5"/>
    <w:rsid w:val="00BA2B0E"/>
    <w:rsid w:val="00BA334A"/>
    <w:rsid w:val="00BA3B7F"/>
    <w:rsid w:val="00BB12EE"/>
    <w:rsid w:val="00BB19AC"/>
    <w:rsid w:val="00BB238D"/>
    <w:rsid w:val="00BB256D"/>
    <w:rsid w:val="00BB2DB5"/>
    <w:rsid w:val="00BB51AA"/>
    <w:rsid w:val="00BB62F0"/>
    <w:rsid w:val="00BB6D0D"/>
    <w:rsid w:val="00BC1022"/>
    <w:rsid w:val="00BC30DE"/>
    <w:rsid w:val="00BD4A1E"/>
    <w:rsid w:val="00BD7C31"/>
    <w:rsid w:val="00BE0233"/>
    <w:rsid w:val="00BE1EFF"/>
    <w:rsid w:val="00BE6478"/>
    <w:rsid w:val="00BF7BC1"/>
    <w:rsid w:val="00C03242"/>
    <w:rsid w:val="00C03F6E"/>
    <w:rsid w:val="00C10BD9"/>
    <w:rsid w:val="00C12445"/>
    <w:rsid w:val="00C14730"/>
    <w:rsid w:val="00C16369"/>
    <w:rsid w:val="00C21C15"/>
    <w:rsid w:val="00C22166"/>
    <w:rsid w:val="00C2309D"/>
    <w:rsid w:val="00C24427"/>
    <w:rsid w:val="00C26998"/>
    <w:rsid w:val="00C26D60"/>
    <w:rsid w:val="00C26DBE"/>
    <w:rsid w:val="00C31ADE"/>
    <w:rsid w:val="00C32249"/>
    <w:rsid w:val="00C32896"/>
    <w:rsid w:val="00C341FE"/>
    <w:rsid w:val="00C36E8B"/>
    <w:rsid w:val="00C40E5F"/>
    <w:rsid w:val="00C42E1E"/>
    <w:rsid w:val="00C44E58"/>
    <w:rsid w:val="00C50317"/>
    <w:rsid w:val="00C51E0E"/>
    <w:rsid w:val="00C51E89"/>
    <w:rsid w:val="00C53F5D"/>
    <w:rsid w:val="00C54980"/>
    <w:rsid w:val="00C5667C"/>
    <w:rsid w:val="00C60CAA"/>
    <w:rsid w:val="00C64585"/>
    <w:rsid w:val="00C659EA"/>
    <w:rsid w:val="00C65F27"/>
    <w:rsid w:val="00C67EA2"/>
    <w:rsid w:val="00C70A3F"/>
    <w:rsid w:val="00C70A55"/>
    <w:rsid w:val="00C71E83"/>
    <w:rsid w:val="00C72599"/>
    <w:rsid w:val="00C72605"/>
    <w:rsid w:val="00C742EE"/>
    <w:rsid w:val="00C74AC2"/>
    <w:rsid w:val="00C813A8"/>
    <w:rsid w:val="00C84B35"/>
    <w:rsid w:val="00C85554"/>
    <w:rsid w:val="00C93F16"/>
    <w:rsid w:val="00C94406"/>
    <w:rsid w:val="00C94A95"/>
    <w:rsid w:val="00C956EF"/>
    <w:rsid w:val="00CA0F76"/>
    <w:rsid w:val="00CA1DCD"/>
    <w:rsid w:val="00CA228F"/>
    <w:rsid w:val="00CA4D46"/>
    <w:rsid w:val="00CB17ED"/>
    <w:rsid w:val="00CB5525"/>
    <w:rsid w:val="00CB5DE3"/>
    <w:rsid w:val="00CB7CD9"/>
    <w:rsid w:val="00CC16EE"/>
    <w:rsid w:val="00CC1F7A"/>
    <w:rsid w:val="00CC5033"/>
    <w:rsid w:val="00CC7A0E"/>
    <w:rsid w:val="00CD0190"/>
    <w:rsid w:val="00CD097F"/>
    <w:rsid w:val="00CD0FB8"/>
    <w:rsid w:val="00CD19EF"/>
    <w:rsid w:val="00CD2B0D"/>
    <w:rsid w:val="00CD3F04"/>
    <w:rsid w:val="00CD41D5"/>
    <w:rsid w:val="00CD5ECD"/>
    <w:rsid w:val="00CD5ED0"/>
    <w:rsid w:val="00CE200C"/>
    <w:rsid w:val="00CE2E7F"/>
    <w:rsid w:val="00CE53B2"/>
    <w:rsid w:val="00CE5BC4"/>
    <w:rsid w:val="00CF2E64"/>
    <w:rsid w:val="00CF48AF"/>
    <w:rsid w:val="00CF6BFD"/>
    <w:rsid w:val="00D01095"/>
    <w:rsid w:val="00D01692"/>
    <w:rsid w:val="00D025BD"/>
    <w:rsid w:val="00D027EB"/>
    <w:rsid w:val="00D02EB3"/>
    <w:rsid w:val="00D04A24"/>
    <w:rsid w:val="00D04DE6"/>
    <w:rsid w:val="00D07154"/>
    <w:rsid w:val="00D108D1"/>
    <w:rsid w:val="00D12A8A"/>
    <w:rsid w:val="00D17C1F"/>
    <w:rsid w:val="00D206FB"/>
    <w:rsid w:val="00D2080D"/>
    <w:rsid w:val="00D252FB"/>
    <w:rsid w:val="00D25604"/>
    <w:rsid w:val="00D26362"/>
    <w:rsid w:val="00D26D2D"/>
    <w:rsid w:val="00D27B5E"/>
    <w:rsid w:val="00D321AB"/>
    <w:rsid w:val="00D34E8E"/>
    <w:rsid w:val="00D361C1"/>
    <w:rsid w:val="00D416B0"/>
    <w:rsid w:val="00D42B60"/>
    <w:rsid w:val="00D47900"/>
    <w:rsid w:val="00D479CA"/>
    <w:rsid w:val="00D50804"/>
    <w:rsid w:val="00D51E9B"/>
    <w:rsid w:val="00D5573B"/>
    <w:rsid w:val="00D57543"/>
    <w:rsid w:val="00D6075C"/>
    <w:rsid w:val="00D637B8"/>
    <w:rsid w:val="00D67C60"/>
    <w:rsid w:val="00D71229"/>
    <w:rsid w:val="00D73611"/>
    <w:rsid w:val="00D85499"/>
    <w:rsid w:val="00D909F7"/>
    <w:rsid w:val="00D92344"/>
    <w:rsid w:val="00D957BF"/>
    <w:rsid w:val="00D95D33"/>
    <w:rsid w:val="00D976E9"/>
    <w:rsid w:val="00DA18E6"/>
    <w:rsid w:val="00DA29C7"/>
    <w:rsid w:val="00DA367F"/>
    <w:rsid w:val="00DA37D0"/>
    <w:rsid w:val="00DA5A92"/>
    <w:rsid w:val="00DA6E2E"/>
    <w:rsid w:val="00DB1490"/>
    <w:rsid w:val="00DB4D3C"/>
    <w:rsid w:val="00DB7160"/>
    <w:rsid w:val="00DC13F3"/>
    <w:rsid w:val="00DC2626"/>
    <w:rsid w:val="00DC32E1"/>
    <w:rsid w:val="00DC45B2"/>
    <w:rsid w:val="00DC5324"/>
    <w:rsid w:val="00DC5F10"/>
    <w:rsid w:val="00DD35C8"/>
    <w:rsid w:val="00DD42E0"/>
    <w:rsid w:val="00DD488E"/>
    <w:rsid w:val="00DD4BFA"/>
    <w:rsid w:val="00DD5CB6"/>
    <w:rsid w:val="00DD777D"/>
    <w:rsid w:val="00DD7AEB"/>
    <w:rsid w:val="00DE01EE"/>
    <w:rsid w:val="00DE04EA"/>
    <w:rsid w:val="00DE2606"/>
    <w:rsid w:val="00DE5570"/>
    <w:rsid w:val="00DE6CEC"/>
    <w:rsid w:val="00DE7853"/>
    <w:rsid w:val="00DE794C"/>
    <w:rsid w:val="00DE7D04"/>
    <w:rsid w:val="00E007FC"/>
    <w:rsid w:val="00E01032"/>
    <w:rsid w:val="00E0461F"/>
    <w:rsid w:val="00E05709"/>
    <w:rsid w:val="00E0763E"/>
    <w:rsid w:val="00E10832"/>
    <w:rsid w:val="00E112D2"/>
    <w:rsid w:val="00E11825"/>
    <w:rsid w:val="00E11DB3"/>
    <w:rsid w:val="00E12320"/>
    <w:rsid w:val="00E13DB8"/>
    <w:rsid w:val="00E141F3"/>
    <w:rsid w:val="00E15333"/>
    <w:rsid w:val="00E16963"/>
    <w:rsid w:val="00E20A69"/>
    <w:rsid w:val="00E227FC"/>
    <w:rsid w:val="00E22CD0"/>
    <w:rsid w:val="00E2443D"/>
    <w:rsid w:val="00E24DB5"/>
    <w:rsid w:val="00E27ADF"/>
    <w:rsid w:val="00E324FE"/>
    <w:rsid w:val="00E32892"/>
    <w:rsid w:val="00E33A00"/>
    <w:rsid w:val="00E359E1"/>
    <w:rsid w:val="00E45655"/>
    <w:rsid w:val="00E45C17"/>
    <w:rsid w:val="00E476E1"/>
    <w:rsid w:val="00E52D81"/>
    <w:rsid w:val="00E56F70"/>
    <w:rsid w:val="00E61343"/>
    <w:rsid w:val="00E62872"/>
    <w:rsid w:val="00E65954"/>
    <w:rsid w:val="00E67246"/>
    <w:rsid w:val="00E72A36"/>
    <w:rsid w:val="00E75BE6"/>
    <w:rsid w:val="00E75E19"/>
    <w:rsid w:val="00E804E4"/>
    <w:rsid w:val="00E81EFA"/>
    <w:rsid w:val="00E83429"/>
    <w:rsid w:val="00E83941"/>
    <w:rsid w:val="00E8556E"/>
    <w:rsid w:val="00E86B92"/>
    <w:rsid w:val="00E9142B"/>
    <w:rsid w:val="00E91681"/>
    <w:rsid w:val="00E92E85"/>
    <w:rsid w:val="00E95121"/>
    <w:rsid w:val="00EA230D"/>
    <w:rsid w:val="00EA29E6"/>
    <w:rsid w:val="00EA34D0"/>
    <w:rsid w:val="00EA66BE"/>
    <w:rsid w:val="00EB0D7D"/>
    <w:rsid w:val="00EB3528"/>
    <w:rsid w:val="00EB3EAA"/>
    <w:rsid w:val="00EB45F5"/>
    <w:rsid w:val="00EC542B"/>
    <w:rsid w:val="00EC6F8A"/>
    <w:rsid w:val="00ED46A8"/>
    <w:rsid w:val="00ED5ECA"/>
    <w:rsid w:val="00ED7F0E"/>
    <w:rsid w:val="00EE54F4"/>
    <w:rsid w:val="00EE5CE5"/>
    <w:rsid w:val="00EE6B74"/>
    <w:rsid w:val="00EE7ACC"/>
    <w:rsid w:val="00EF1F21"/>
    <w:rsid w:val="00EF34BF"/>
    <w:rsid w:val="00EF6F83"/>
    <w:rsid w:val="00EF742C"/>
    <w:rsid w:val="00EF7AFE"/>
    <w:rsid w:val="00F0035B"/>
    <w:rsid w:val="00F022C9"/>
    <w:rsid w:val="00F068F1"/>
    <w:rsid w:val="00F10F56"/>
    <w:rsid w:val="00F11EE4"/>
    <w:rsid w:val="00F13B4C"/>
    <w:rsid w:val="00F1487E"/>
    <w:rsid w:val="00F17660"/>
    <w:rsid w:val="00F20BDF"/>
    <w:rsid w:val="00F22059"/>
    <w:rsid w:val="00F25A46"/>
    <w:rsid w:val="00F30F7E"/>
    <w:rsid w:val="00F33021"/>
    <w:rsid w:val="00F34420"/>
    <w:rsid w:val="00F347AD"/>
    <w:rsid w:val="00F37BD7"/>
    <w:rsid w:val="00F37C1E"/>
    <w:rsid w:val="00F44CB3"/>
    <w:rsid w:val="00F44CE0"/>
    <w:rsid w:val="00F45457"/>
    <w:rsid w:val="00F46867"/>
    <w:rsid w:val="00F470B1"/>
    <w:rsid w:val="00F47AE7"/>
    <w:rsid w:val="00F51655"/>
    <w:rsid w:val="00F55287"/>
    <w:rsid w:val="00F55B2D"/>
    <w:rsid w:val="00F6704F"/>
    <w:rsid w:val="00F672E0"/>
    <w:rsid w:val="00F70AB0"/>
    <w:rsid w:val="00F7683A"/>
    <w:rsid w:val="00F8015C"/>
    <w:rsid w:val="00F857D4"/>
    <w:rsid w:val="00F93CC9"/>
    <w:rsid w:val="00F94810"/>
    <w:rsid w:val="00F95619"/>
    <w:rsid w:val="00F96E29"/>
    <w:rsid w:val="00F9784F"/>
    <w:rsid w:val="00FA3FB5"/>
    <w:rsid w:val="00FA766B"/>
    <w:rsid w:val="00FB258F"/>
    <w:rsid w:val="00FB3ED9"/>
    <w:rsid w:val="00FC7784"/>
    <w:rsid w:val="00FC7C50"/>
    <w:rsid w:val="00FD058E"/>
    <w:rsid w:val="00FD0D35"/>
    <w:rsid w:val="00FD0EF2"/>
    <w:rsid w:val="00FD11BF"/>
    <w:rsid w:val="00FD24A8"/>
    <w:rsid w:val="00FD3A36"/>
    <w:rsid w:val="00FD3BDF"/>
    <w:rsid w:val="00FD41B1"/>
    <w:rsid w:val="00FE020E"/>
    <w:rsid w:val="00FE4167"/>
    <w:rsid w:val="00FE466D"/>
    <w:rsid w:val="00FE5B46"/>
    <w:rsid w:val="00FF409B"/>
    <w:rsid w:val="00FF4201"/>
    <w:rsid w:val="00FF4EB9"/>
    <w:rsid w:val="00FF5DDE"/>
    <w:rsid w:val="00FF5E1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BB5C4D"/>
  <w15:docId w15:val="{2A15F395-7606-45F3-A897-5A7C0DBEA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2E0"/>
  </w:style>
  <w:style w:type="paragraph" w:styleId="Heading1">
    <w:name w:val="heading 1"/>
    <w:basedOn w:val="Normal"/>
    <w:next w:val="Normal"/>
    <w:link w:val="Heading1Char"/>
    <w:uiPriority w:val="9"/>
    <w:qFormat/>
    <w:rsid w:val="003F0B2E"/>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3F0B2E"/>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3F0B2E"/>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3F0B2E"/>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F0B2E"/>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F0B2E"/>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F0B2E"/>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F0B2E"/>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F0B2E"/>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0B2E"/>
    <w:rPr>
      <w:smallCaps/>
      <w:sz w:val="28"/>
      <w:szCs w:val="28"/>
    </w:rPr>
  </w:style>
  <w:style w:type="paragraph" w:styleId="Quote">
    <w:name w:val="Quote"/>
    <w:basedOn w:val="Normal"/>
    <w:next w:val="Normal"/>
    <w:link w:val="QuoteChar"/>
    <w:uiPriority w:val="29"/>
    <w:qFormat/>
    <w:rsid w:val="003F0B2E"/>
    <w:rPr>
      <w:i/>
      <w:iCs/>
    </w:rPr>
  </w:style>
  <w:style w:type="character" w:customStyle="1" w:styleId="QuoteChar">
    <w:name w:val="Quote Char"/>
    <w:basedOn w:val="DefaultParagraphFont"/>
    <w:link w:val="Quote"/>
    <w:uiPriority w:val="29"/>
    <w:rsid w:val="003F0B2E"/>
    <w:rPr>
      <w:i/>
      <w:iCs/>
    </w:rPr>
  </w:style>
  <w:style w:type="paragraph" w:styleId="BalloonText">
    <w:name w:val="Balloon Text"/>
    <w:basedOn w:val="Normal"/>
    <w:link w:val="BalloonTextChar"/>
    <w:uiPriority w:val="99"/>
    <w:semiHidden/>
    <w:unhideWhenUsed/>
    <w:rsid w:val="005373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3AA"/>
    <w:rPr>
      <w:rFonts w:ascii="Tahoma" w:hAnsi="Tahoma" w:cs="Tahoma"/>
      <w:sz w:val="16"/>
      <w:szCs w:val="16"/>
    </w:rPr>
  </w:style>
  <w:style w:type="paragraph" w:styleId="Title">
    <w:name w:val="Title"/>
    <w:basedOn w:val="Normal"/>
    <w:next w:val="Normal"/>
    <w:link w:val="TitleChar"/>
    <w:uiPriority w:val="10"/>
    <w:qFormat/>
    <w:rsid w:val="003F0B2E"/>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3F0B2E"/>
    <w:rPr>
      <w:smallCaps/>
      <w:sz w:val="52"/>
      <w:szCs w:val="52"/>
    </w:rPr>
  </w:style>
  <w:style w:type="character" w:customStyle="1" w:styleId="Heading1Char">
    <w:name w:val="Heading 1 Char"/>
    <w:basedOn w:val="DefaultParagraphFont"/>
    <w:link w:val="Heading1"/>
    <w:uiPriority w:val="9"/>
    <w:rsid w:val="003F0B2E"/>
    <w:rPr>
      <w:smallCaps/>
      <w:spacing w:val="5"/>
      <w:sz w:val="36"/>
      <w:szCs w:val="36"/>
    </w:rPr>
  </w:style>
  <w:style w:type="character" w:customStyle="1" w:styleId="Heading3Char">
    <w:name w:val="Heading 3 Char"/>
    <w:basedOn w:val="DefaultParagraphFont"/>
    <w:link w:val="Heading3"/>
    <w:uiPriority w:val="9"/>
    <w:rsid w:val="003F0B2E"/>
    <w:rPr>
      <w:i/>
      <w:iCs/>
      <w:smallCaps/>
      <w:spacing w:val="5"/>
      <w:sz w:val="26"/>
      <w:szCs w:val="26"/>
    </w:rPr>
  </w:style>
  <w:style w:type="character" w:customStyle="1" w:styleId="Heading4Char">
    <w:name w:val="Heading 4 Char"/>
    <w:basedOn w:val="DefaultParagraphFont"/>
    <w:link w:val="Heading4"/>
    <w:uiPriority w:val="9"/>
    <w:semiHidden/>
    <w:rsid w:val="003F0B2E"/>
    <w:rPr>
      <w:b/>
      <w:bCs/>
      <w:spacing w:val="5"/>
      <w:sz w:val="24"/>
      <w:szCs w:val="24"/>
    </w:rPr>
  </w:style>
  <w:style w:type="character" w:customStyle="1" w:styleId="Heading5Char">
    <w:name w:val="Heading 5 Char"/>
    <w:basedOn w:val="DefaultParagraphFont"/>
    <w:link w:val="Heading5"/>
    <w:uiPriority w:val="9"/>
    <w:semiHidden/>
    <w:rsid w:val="003F0B2E"/>
    <w:rPr>
      <w:i/>
      <w:iCs/>
      <w:sz w:val="24"/>
      <w:szCs w:val="24"/>
    </w:rPr>
  </w:style>
  <w:style w:type="character" w:customStyle="1" w:styleId="Heading6Char">
    <w:name w:val="Heading 6 Char"/>
    <w:basedOn w:val="DefaultParagraphFont"/>
    <w:link w:val="Heading6"/>
    <w:uiPriority w:val="9"/>
    <w:semiHidden/>
    <w:rsid w:val="003F0B2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F0B2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F0B2E"/>
    <w:rPr>
      <w:b/>
      <w:bCs/>
      <w:color w:val="7F7F7F" w:themeColor="text1" w:themeTint="80"/>
      <w:sz w:val="20"/>
      <w:szCs w:val="20"/>
    </w:rPr>
  </w:style>
  <w:style w:type="character" w:customStyle="1" w:styleId="Heading9Char">
    <w:name w:val="Heading 9 Char"/>
    <w:basedOn w:val="DefaultParagraphFont"/>
    <w:link w:val="Heading9"/>
    <w:uiPriority w:val="9"/>
    <w:semiHidden/>
    <w:rsid w:val="003F0B2E"/>
    <w:rPr>
      <w:b/>
      <w:bCs/>
      <w:i/>
      <w:iCs/>
      <w:color w:val="7F7F7F" w:themeColor="text1" w:themeTint="80"/>
      <w:sz w:val="18"/>
      <w:szCs w:val="18"/>
    </w:rPr>
  </w:style>
  <w:style w:type="paragraph" w:styleId="Caption">
    <w:name w:val="caption"/>
    <w:basedOn w:val="Normal"/>
    <w:next w:val="Normal"/>
    <w:uiPriority w:val="35"/>
    <w:semiHidden/>
    <w:unhideWhenUsed/>
    <w:rsid w:val="00EF7AFE"/>
    <w:rPr>
      <w:b/>
      <w:bCs/>
      <w:color w:val="365F91" w:themeColor="accent1" w:themeShade="BF"/>
      <w:sz w:val="16"/>
      <w:szCs w:val="16"/>
    </w:rPr>
  </w:style>
  <w:style w:type="paragraph" w:styleId="Subtitle">
    <w:name w:val="Subtitle"/>
    <w:basedOn w:val="Normal"/>
    <w:next w:val="Normal"/>
    <w:link w:val="SubtitleChar"/>
    <w:uiPriority w:val="11"/>
    <w:qFormat/>
    <w:rsid w:val="003F0B2E"/>
    <w:rPr>
      <w:i/>
      <w:iCs/>
      <w:smallCaps/>
      <w:spacing w:val="10"/>
      <w:sz w:val="28"/>
      <w:szCs w:val="28"/>
    </w:rPr>
  </w:style>
  <w:style w:type="character" w:customStyle="1" w:styleId="SubtitleChar">
    <w:name w:val="Subtitle Char"/>
    <w:basedOn w:val="DefaultParagraphFont"/>
    <w:link w:val="Subtitle"/>
    <w:uiPriority w:val="11"/>
    <w:rsid w:val="003F0B2E"/>
    <w:rPr>
      <w:i/>
      <w:iCs/>
      <w:smallCaps/>
      <w:spacing w:val="10"/>
      <w:sz w:val="28"/>
      <w:szCs w:val="28"/>
    </w:rPr>
  </w:style>
  <w:style w:type="character" w:styleId="Strong">
    <w:name w:val="Strong"/>
    <w:uiPriority w:val="22"/>
    <w:qFormat/>
    <w:rsid w:val="003F0B2E"/>
    <w:rPr>
      <w:b/>
      <w:bCs/>
    </w:rPr>
  </w:style>
  <w:style w:type="character" w:styleId="Emphasis">
    <w:name w:val="Emphasis"/>
    <w:uiPriority w:val="20"/>
    <w:qFormat/>
    <w:rsid w:val="003F0B2E"/>
    <w:rPr>
      <w:b/>
      <w:bCs/>
      <w:i/>
      <w:iCs/>
      <w:spacing w:val="10"/>
    </w:rPr>
  </w:style>
  <w:style w:type="paragraph" w:styleId="NoSpacing">
    <w:name w:val="No Spacing"/>
    <w:basedOn w:val="Normal"/>
    <w:link w:val="NoSpacingChar"/>
    <w:uiPriority w:val="1"/>
    <w:qFormat/>
    <w:rsid w:val="003F0B2E"/>
    <w:pPr>
      <w:spacing w:after="0" w:line="240" w:lineRule="auto"/>
    </w:pPr>
  </w:style>
  <w:style w:type="character" w:customStyle="1" w:styleId="NoSpacingChar">
    <w:name w:val="No Spacing Char"/>
    <w:basedOn w:val="DefaultParagraphFont"/>
    <w:link w:val="NoSpacing"/>
    <w:uiPriority w:val="1"/>
    <w:rsid w:val="00EF7AFE"/>
  </w:style>
  <w:style w:type="paragraph" w:styleId="ListParagraph">
    <w:name w:val="List Paragraph"/>
    <w:basedOn w:val="Normal"/>
    <w:uiPriority w:val="34"/>
    <w:qFormat/>
    <w:rsid w:val="003F0B2E"/>
    <w:pPr>
      <w:ind w:left="720"/>
      <w:contextualSpacing/>
    </w:pPr>
  </w:style>
  <w:style w:type="paragraph" w:styleId="IntenseQuote">
    <w:name w:val="Intense Quote"/>
    <w:basedOn w:val="Normal"/>
    <w:next w:val="Normal"/>
    <w:link w:val="IntenseQuoteChar"/>
    <w:uiPriority w:val="30"/>
    <w:qFormat/>
    <w:rsid w:val="003F0B2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F0B2E"/>
    <w:rPr>
      <w:i/>
      <w:iCs/>
    </w:rPr>
  </w:style>
  <w:style w:type="character" w:styleId="SubtleEmphasis">
    <w:name w:val="Subtle Emphasis"/>
    <w:uiPriority w:val="19"/>
    <w:qFormat/>
    <w:rsid w:val="003F0B2E"/>
    <w:rPr>
      <w:i/>
      <w:iCs/>
    </w:rPr>
  </w:style>
  <w:style w:type="character" w:styleId="IntenseEmphasis">
    <w:name w:val="Intense Emphasis"/>
    <w:uiPriority w:val="21"/>
    <w:qFormat/>
    <w:rsid w:val="003F0B2E"/>
    <w:rPr>
      <w:b/>
      <w:bCs/>
      <w:i/>
      <w:iCs/>
    </w:rPr>
  </w:style>
  <w:style w:type="character" w:styleId="SubtleReference">
    <w:name w:val="Subtle Reference"/>
    <w:basedOn w:val="DefaultParagraphFont"/>
    <w:uiPriority w:val="31"/>
    <w:qFormat/>
    <w:rsid w:val="003F0B2E"/>
    <w:rPr>
      <w:smallCaps/>
    </w:rPr>
  </w:style>
  <w:style w:type="character" w:styleId="IntenseReference">
    <w:name w:val="Intense Reference"/>
    <w:uiPriority w:val="32"/>
    <w:qFormat/>
    <w:rsid w:val="003F0B2E"/>
    <w:rPr>
      <w:b/>
      <w:bCs/>
      <w:smallCaps/>
    </w:rPr>
  </w:style>
  <w:style w:type="character" w:styleId="BookTitle">
    <w:name w:val="Book Title"/>
    <w:basedOn w:val="DefaultParagraphFont"/>
    <w:uiPriority w:val="33"/>
    <w:qFormat/>
    <w:rsid w:val="003F0B2E"/>
    <w:rPr>
      <w:i/>
      <w:iCs/>
      <w:smallCaps/>
      <w:spacing w:val="5"/>
    </w:rPr>
  </w:style>
  <w:style w:type="paragraph" w:styleId="TOCHeading">
    <w:name w:val="TOC Heading"/>
    <w:basedOn w:val="Heading1"/>
    <w:next w:val="Normal"/>
    <w:uiPriority w:val="39"/>
    <w:semiHidden/>
    <w:unhideWhenUsed/>
    <w:qFormat/>
    <w:rsid w:val="003F0B2E"/>
    <w:pPr>
      <w:outlineLvl w:val="9"/>
    </w:pPr>
    <w:rPr>
      <w:lang w:bidi="en-US"/>
    </w:rPr>
  </w:style>
  <w:style w:type="paragraph" w:styleId="TOC1">
    <w:name w:val="toc 1"/>
    <w:basedOn w:val="Normal"/>
    <w:next w:val="Normal"/>
    <w:autoRedefine/>
    <w:uiPriority w:val="39"/>
    <w:unhideWhenUsed/>
    <w:rsid w:val="00EF7AFE"/>
    <w:pPr>
      <w:spacing w:after="100"/>
    </w:pPr>
  </w:style>
  <w:style w:type="character" w:styleId="Hyperlink">
    <w:name w:val="Hyperlink"/>
    <w:basedOn w:val="DefaultParagraphFont"/>
    <w:uiPriority w:val="99"/>
    <w:unhideWhenUsed/>
    <w:rsid w:val="00EF7AFE"/>
    <w:rPr>
      <w:color w:val="0000FF" w:themeColor="hyperlink"/>
      <w:u w:val="single"/>
    </w:rPr>
  </w:style>
  <w:style w:type="paragraph" w:styleId="TOC2">
    <w:name w:val="toc 2"/>
    <w:basedOn w:val="Normal"/>
    <w:next w:val="Normal"/>
    <w:autoRedefine/>
    <w:uiPriority w:val="39"/>
    <w:unhideWhenUsed/>
    <w:rsid w:val="00C74AC2"/>
    <w:pPr>
      <w:spacing w:after="100"/>
      <w:ind w:left="220"/>
    </w:pPr>
  </w:style>
  <w:style w:type="character" w:styleId="CommentReference">
    <w:name w:val="annotation reference"/>
    <w:basedOn w:val="DefaultParagraphFont"/>
    <w:uiPriority w:val="99"/>
    <w:semiHidden/>
    <w:unhideWhenUsed/>
    <w:rsid w:val="00F672E0"/>
    <w:rPr>
      <w:sz w:val="16"/>
      <w:szCs w:val="16"/>
    </w:rPr>
  </w:style>
  <w:style w:type="paragraph" w:styleId="CommentText">
    <w:name w:val="annotation text"/>
    <w:basedOn w:val="Normal"/>
    <w:link w:val="CommentTextChar"/>
    <w:uiPriority w:val="99"/>
    <w:unhideWhenUsed/>
    <w:rsid w:val="00F672E0"/>
    <w:pPr>
      <w:spacing w:after="160" w:line="240" w:lineRule="auto"/>
    </w:pPr>
    <w:rPr>
      <w:rFonts w:ascii="Times New Roman" w:eastAsiaTheme="minorHAnsi" w:hAnsi="Times New Roman" w:cs="Times New Roman"/>
      <w:sz w:val="20"/>
      <w:szCs w:val="20"/>
    </w:rPr>
  </w:style>
  <w:style w:type="character" w:customStyle="1" w:styleId="CommentTextChar">
    <w:name w:val="Comment Text Char"/>
    <w:basedOn w:val="DefaultParagraphFont"/>
    <w:link w:val="CommentText"/>
    <w:uiPriority w:val="99"/>
    <w:rsid w:val="00F672E0"/>
    <w:rPr>
      <w:rFonts w:ascii="Times New Roman" w:eastAsiaTheme="minorHAnsi" w:hAnsi="Times New Roman" w:cs="Times New Roman"/>
      <w:sz w:val="20"/>
      <w:szCs w:val="20"/>
    </w:rPr>
  </w:style>
  <w:style w:type="paragraph" w:styleId="NormalWeb">
    <w:name w:val="Normal (Web)"/>
    <w:basedOn w:val="Normal"/>
    <w:uiPriority w:val="99"/>
    <w:unhideWhenUsed/>
    <w:rsid w:val="00882105"/>
    <w:pPr>
      <w:spacing w:after="160" w:line="259" w:lineRule="auto"/>
    </w:pPr>
    <w:rPr>
      <w:rFonts w:ascii="Times New Roman" w:eastAsiaTheme="minorHAnsi" w:hAnsi="Times New Roman" w:cs="Times New Roman"/>
      <w:sz w:val="24"/>
      <w:szCs w:val="24"/>
    </w:rPr>
  </w:style>
  <w:style w:type="paragraph" w:styleId="BodyText">
    <w:name w:val="Body Text"/>
    <w:basedOn w:val="Normal"/>
    <w:link w:val="BodyTextChar"/>
    <w:rsid w:val="00517F26"/>
    <w:pPr>
      <w:tabs>
        <w:tab w:val="left" w:pos="720"/>
      </w:tabs>
      <w:spacing w:after="0" w:line="240" w:lineRule="auto"/>
    </w:pPr>
    <w:rPr>
      <w:rFonts w:ascii="Times New Roman" w:eastAsia="Times New Roman" w:hAnsi="Times New Roman" w:cs="Times New Roman"/>
      <w:sz w:val="28"/>
      <w:szCs w:val="20"/>
      <w:lang w:eastAsia="en-AU"/>
    </w:rPr>
  </w:style>
  <w:style w:type="character" w:customStyle="1" w:styleId="BodyTextChar">
    <w:name w:val="Body Text Char"/>
    <w:basedOn w:val="DefaultParagraphFont"/>
    <w:link w:val="BodyText"/>
    <w:rsid w:val="00517F26"/>
    <w:rPr>
      <w:rFonts w:ascii="Times New Roman" w:eastAsia="Times New Roman" w:hAnsi="Times New Roman" w:cs="Times New Roman"/>
      <w:sz w:val="28"/>
      <w:szCs w:val="20"/>
      <w:lang w:eastAsia="en-AU"/>
    </w:rPr>
  </w:style>
  <w:style w:type="paragraph" w:styleId="FootnoteText">
    <w:name w:val="footnote text"/>
    <w:basedOn w:val="Normal"/>
    <w:link w:val="FootnoteTextChar"/>
    <w:uiPriority w:val="99"/>
    <w:semiHidden/>
    <w:unhideWhenUsed/>
    <w:rsid w:val="007123C8"/>
    <w:pPr>
      <w:spacing w:after="0" w:line="240" w:lineRule="auto"/>
    </w:pPr>
    <w:rPr>
      <w:rFonts w:ascii="Times New Roman" w:eastAsiaTheme="minorHAnsi" w:hAnsi="Times New Roman" w:cs="Times New Roman"/>
      <w:sz w:val="20"/>
      <w:szCs w:val="20"/>
    </w:rPr>
  </w:style>
  <w:style w:type="character" w:customStyle="1" w:styleId="FootnoteTextChar">
    <w:name w:val="Footnote Text Char"/>
    <w:basedOn w:val="DefaultParagraphFont"/>
    <w:link w:val="FootnoteText"/>
    <w:uiPriority w:val="99"/>
    <w:semiHidden/>
    <w:rsid w:val="007123C8"/>
    <w:rPr>
      <w:rFonts w:ascii="Times New Roman" w:eastAsiaTheme="minorHAnsi" w:hAnsi="Times New Roman" w:cs="Times New Roman"/>
      <w:sz w:val="20"/>
      <w:szCs w:val="20"/>
    </w:rPr>
  </w:style>
  <w:style w:type="character" w:styleId="FootnoteReference">
    <w:name w:val="footnote reference"/>
    <w:basedOn w:val="DefaultParagraphFont"/>
    <w:uiPriority w:val="99"/>
    <w:semiHidden/>
    <w:unhideWhenUsed/>
    <w:rsid w:val="007123C8"/>
    <w:rPr>
      <w:vertAlign w:val="superscript"/>
    </w:rPr>
  </w:style>
  <w:style w:type="paragraph" w:customStyle="1" w:styleId="Default">
    <w:name w:val="Default"/>
    <w:rsid w:val="007123C8"/>
    <w:pPr>
      <w:autoSpaceDE w:val="0"/>
      <w:autoSpaceDN w:val="0"/>
      <w:adjustRightInd w:val="0"/>
      <w:spacing w:after="0" w:line="240" w:lineRule="auto"/>
    </w:pPr>
    <w:rPr>
      <w:rFonts w:ascii="Arial" w:eastAsiaTheme="minorHAnsi" w:hAnsi="Arial" w:cs="Arial"/>
      <w:color w:val="000000"/>
      <w:sz w:val="24"/>
      <w:szCs w:val="24"/>
    </w:rPr>
  </w:style>
  <w:style w:type="paragraph" w:styleId="TOC3">
    <w:name w:val="toc 3"/>
    <w:basedOn w:val="Normal"/>
    <w:next w:val="Normal"/>
    <w:autoRedefine/>
    <w:uiPriority w:val="39"/>
    <w:unhideWhenUsed/>
    <w:rsid w:val="008D6703"/>
    <w:pPr>
      <w:spacing w:after="100"/>
      <w:ind w:left="440"/>
    </w:pPr>
  </w:style>
  <w:style w:type="paragraph" w:styleId="CommentSubject">
    <w:name w:val="annotation subject"/>
    <w:basedOn w:val="CommentText"/>
    <w:next w:val="CommentText"/>
    <w:link w:val="CommentSubjectChar"/>
    <w:uiPriority w:val="99"/>
    <w:semiHidden/>
    <w:unhideWhenUsed/>
    <w:rsid w:val="005F4925"/>
    <w:pPr>
      <w:spacing w:after="200"/>
    </w:pPr>
    <w:rPr>
      <w:rFonts w:asciiTheme="majorHAnsi" w:eastAsiaTheme="majorEastAsia" w:hAnsiTheme="majorHAnsi" w:cstheme="majorBidi"/>
      <w:b/>
      <w:bCs/>
    </w:rPr>
  </w:style>
  <w:style w:type="character" w:customStyle="1" w:styleId="CommentSubjectChar">
    <w:name w:val="Comment Subject Char"/>
    <w:basedOn w:val="CommentTextChar"/>
    <w:link w:val="CommentSubject"/>
    <w:uiPriority w:val="99"/>
    <w:semiHidden/>
    <w:rsid w:val="005F4925"/>
    <w:rPr>
      <w:rFonts w:ascii="Times New Roman" w:eastAsiaTheme="minorHAnsi" w:hAnsi="Times New Roman" w:cs="Times New Roman"/>
      <w:b/>
      <w:bCs/>
      <w:sz w:val="20"/>
      <w:szCs w:val="20"/>
    </w:rPr>
  </w:style>
  <w:style w:type="paragraph" w:styleId="Header">
    <w:name w:val="header"/>
    <w:basedOn w:val="Normal"/>
    <w:link w:val="HeaderChar"/>
    <w:uiPriority w:val="99"/>
    <w:unhideWhenUsed/>
    <w:rsid w:val="00263E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EBC"/>
  </w:style>
  <w:style w:type="paragraph" w:styleId="Footer">
    <w:name w:val="footer"/>
    <w:basedOn w:val="Normal"/>
    <w:link w:val="FooterChar"/>
    <w:uiPriority w:val="99"/>
    <w:unhideWhenUsed/>
    <w:rsid w:val="00263E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EBC"/>
  </w:style>
  <w:style w:type="table" w:styleId="TableGrid">
    <w:name w:val="Table Grid"/>
    <w:basedOn w:val="TableNormal"/>
    <w:uiPriority w:val="59"/>
    <w:rsid w:val="00043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94F87"/>
    <w:pPr>
      <w:spacing w:after="0" w:line="240" w:lineRule="auto"/>
    </w:pPr>
  </w:style>
  <w:style w:type="paragraph" w:styleId="EndnoteText">
    <w:name w:val="endnote text"/>
    <w:basedOn w:val="Normal"/>
    <w:link w:val="EndnoteTextChar"/>
    <w:uiPriority w:val="99"/>
    <w:semiHidden/>
    <w:unhideWhenUsed/>
    <w:rsid w:val="00694F8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94F87"/>
    <w:rPr>
      <w:sz w:val="20"/>
      <w:szCs w:val="20"/>
    </w:rPr>
  </w:style>
  <w:style w:type="character" w:styleId="EndnoteReference">
    <w:name w:val="endnote reference"/>
    <w:basedOn w:val="DefaultParagraphFont"/>
    <w:uiPriority w:val="99"/>
    <w:semiHidden/>
    <w:unhideWhenUsed/>
    <w:rsid w:val="00694F87"/>
    <w:rPr>
      <w:vertAlign w:val="superscript"/>
    </w:rPr>
  </w:style>
  <w:style w:type="character" w:customStyle="1" w:styleId="UnresolvedMention1">
    <w:name w:val="Unresolved Mention1"/>
    <w:basedOn w:val="DefaultParagraphFont"/>
    <w:uiPriority w:val="99"/>
    <w:semiHidden/>
    <w:unhideWhenUsed/>
    <w:rsid w:val="00CD41D5"/>
    <w:rPr>
      <w:color w:val="605E5C"/>
      <w:shd w:val="clear" w:color="auto" w:fill="E1DFDD"/>
    </w:rPr>
  </w:style>
  <w:style w:type="character" w:styleId="PageNumber">
    <w:name w:val="page number"/>
    <w:basedOn w:val="DefaultParagraphFont"/>
    <w:uiPriority w:val="99"/>
    <w:semiHidden/>
    <w:unhideWhenUsed/>
    <w:rsid w:val="00A42823"/>
  </w:style>
  <w:style w:type="character" w:styleId="FollowedHyperlink">
    <w:name w:val="FollowedHyperlink"/>
    <w:basedOn w:val="DefaultParagraphFont"/>
    <w:uiPriority w:val="99"/>
    <w:semiHidden/>
    <w:unhideWhenUsed/>
    <w:rsid w:val="00884E4A"/>
    <w:rPr>
      <w:color w:val="800080" w:themeColor="followedHyperlink"/>
      <w:u w:val="single"/>
    </w:rPr>
  </w:style>
  <w:style w:type="character" w:customStyle="1" w:styleId="UnresolvedMention2">
    <w:name w:val="Unresolved Mention2"/>
    <w:basedOn w:val="DefaultParagraphFont"/>
    <w:uiPriority w:val="99"/>
    <w:semiHidden/>
    <w:unhideWhenUsed/>
    <w:rsid w:val="008352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82867">
      <w:bodyDiv w:val="1"/>
      <w:marLeft w:val="0"/>
      <w:marRight w:val="0"/>
      <w:marTop w:val="0"/>
      <w:marBottom w:val="0"/>
      <w:divBdr>
        <w:top w:val="none" w:sz="0" w:space="0" w:color="auto"/>
        <w:left w:val="none" w:sz="0" w:space="0" w:color="auto"/>
        <w:bottom w:val="none" w:sz="0" w:space="0" w:color="auto"/>
        <w:right w:val="none" w:sz="0" w:space="0" w:color="auto"/>
      </w:divBdr>
    </w:div>
    <w:div w:id="194850871">
      <w:bodyDiv w:val="1"/>
      <w:marLeft w:val="0"/>
      <w:marRight w:val="0"/>
      <w:marTop w:val="0"/>
      <w:marBottom w:val="0"/>
      <w:divBdr>
        <w:top w:val="none" w:sz="0" w:space="0" w:color="auto"/>
        <w:left w:val="none" w:sz="0" w:space="0" w:color="auto"/>
        <w:bottom w:val="none" w:sz="0" w:space="0" w:color="auto"/>
        <w:right w:val="none" w:sz="0" w:space="0" w:color="auto"/>
      </w:divBdr>
    </w:div>
    <w:div w:id="1518734917">
      <w:bodyDiv w:val="1"/>
      <w:marLeft w:val="0"/>
      <w:marRight w:val="0"/>
      <w:marTop w:val="0"/>
      <w:marBottom w:val="0"/>
      <w:divBdr>
        <w:top w:val="none" w:sz="0" w:space="0" w:color="auto"/>
        <w:left w:val="none" w:sz="0" w:space="0" w:color="auto"/>
        <w:bottom w:val="none" w:sz="0" w:space="0" w:color="auto"/>
        <w:right w:val="none" w:sz="0" w:space="0" w:color="auto"/>
      </w:divBdr>
    </w:div>
    <w:div w:id="157898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58601-676A-4CFF-912C-496DD6465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14</Pages>
  <Words>5933</Words>
  <Characters>33821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frougster</dc:creator>
  <cp:lastModifiedBy>Chin-Dahler, Weng</cp:lastModifiedBy>
  <cp:revision>25</cp:revision>
  <cp:lastPrinted>2019-07-25T23:43:00Z</cp:lastPrinted>
  <dcterms:created xsi:type="dcterms:W3CDTF">2019-08-23T00:47:00Z</dcterms:created>
  <dcterms:modified xsi:type="dcterms:W3CDTF">2020-03-06T00:35:00Z</dcterms:modified>
</cp:coreProperties>
</file>