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3A578" w14:textId="79168992" w:rsidR="00933BC2" w:rsidRPr="00623A95" w:rsidRDefault="00381D80" w:rsidP="00807CF2">
      <w:pPr>
        <w:pStyle w:val="CM1"/>
        <w:spacing w:before="5400"/>
        <w:contextualSpacing/>
        <w:jc w:val="center"/>
        <w:rPr>
          <w:rFonts w:ascii="Arial Narrow" w:hAnsi="Arial Narrow"/>
          <w:b/>
          <w:bCs/>
          <w:sz w:val="44"/>
          <w:szCs w:val="44"/>
          <w:lang w:val="en-GB"/>
        </w:rPr>
      </w:pPr>
      <w:r w:rsidRPr="00623A95">
        <w:rPr>
          <w:rFonts w:ascii="Arial Narrow" w:hAnsi="Arial Narrow"/>
          <w:b/>
          <w:bCs/>
          <w:sz w:val="44"/>
          <w:szCs w:val="44"/>
          <w:lang w:val="en-GB"/>
        </w:rPr>
        <w:t xml:space="preserve">Importance Ratings and Summary of </w:t>
      </w:r>
    </w:p>
    <w:p w14:paraId="2E8AFE0B" w14:textId="4C9FAAB5" w:rsidR="00381D80" w:rsidRPr="00623A95" w:rsidRDefault="00381D80" w:rsidP="00C91B9A">
      <w:pPr>
        <w:pStyle w:val="CM1"/>
        <w:spacing w:before="4200"/>
        <w:contextualSpacing/>
        <w:jc w:val="center"/>
        <w:rPr>
          <w:rFonts w:ascii="Arial Narrow" w:hAnsi="Arial Narrow"/>
          <w:sz w:val="44"/>
          <w:szCs w:val="44"/>
          <w:lang w:val="en-GB"/>
        </w:rPr>
      </w:pPr>
      <w:r w:rsidRPr="00623A95">
        <w:rPr>
          <w:rFonts w:ascii="Arial Narrow" w:hAnsi="Arial Narrow"/>
          <w:b/>
          <w:bCs/>
          <w:sz w:val="44"/>
          <w:szCs w:val="44"/>
          <w:lang w:val="en-GB"/>
        </w:rPr>
        <w:t>Antibacterial Uses in Humans in Australia</w:t>
      </w:r>
    </w:p>
    <w:p w14:paraId="2540C17E" w14:textId="030590B3" w:rsidR="00381D80" w:rsidRPr="00623A95" w:rsidRDefault="00A853A1" w:rsidP="00C91B9A">
      <w:pPr>
        <w:pStyle w:val="Default1"/>
        <w:spacing w:before="840"/>
        <w:contextualSpacing/>
        <w:jc w:val="center"/>
        <w:rPr>
          <w:rFonts w:ascii="Arial Narrow" w:hAnsi="Arial Narrow" w:cs="Garamond"/>
          <w:b/>
          <w:sz w:val="28"/>
          <w:szCs w:val="28"/>
          <w:lang w:val="en-GB"/>
        </w:rPr>
      </w:pPr>
      <w:r w:rsidRPr="00623A95">
        <w:rPr>
          <w:rFonts w:ascii="Arial Narrow" w:hAnsi="Arial Narrow" w:cs="Garamond"/>
          <w:b/>
          <w:sz w:val="28"/>
          <w:szCs w:val="28"/>
          <w:lang w:val="en-GB"/>
        </w:rPr>
        <w:t>Version 1.1</w:t>
      </w:r>
    </w:p>
    <w:p w14:paraId="5C63385E" w14:textId="71693A23" w:rsidR="00A312F8" w:rsidRPr="005E4694" w:rsidRDefault="00A312F8" w:rsidP="00807CF2">
      <w:pPr>
        <w:widowControl/>
        <w:autoSpaceDE/>
        <w:autoSpaceDN/>
        <w:adjustRightInd/>
        <w:spacing w:before="4600" w:after="400"/>
        <w:jc w:val="center"/>
        <w:rPr>
          <w:rFonts w:ascii="Arial Narrow" w:hAnsi="Arial Narrow" w:cs="Arial"/>
          <w:bCs/>
          <w:color w:val="000000"/>
          <w:sz w:val="36"/>
          <w:szCs w:val="36"/>
          <w:lang w:val="en-GB"/>
        </w:rPr>
      </w:pPr>
      <w:r w:rsidRPr="005E4694">
        <w:rPr>
          <w:rFonts w:ascii="Arial Narrow" w:hAnsi="Arial Narrow"/>
          <w:sz w:val="36"/>
          <w:szCs w:val="36"/>
          <w:lang w:val="en-GB"/>
        </w:rPr>
        <w:t>Australian Strategic and Technical Advisory Group on AMR (ASTAG)</w:t>
      </w:r>
    </w:p>
    <w:p w14:paraId="798FE01E" w14:textId="40EBDB43" w:rsidR="00A312F8" w:rsidRPr="00623A95" w:rsidRDefault="00A312F8" w:rsidP="00623A95">
      <w:pPr>
        <w:widowControl/>
        <w:autoSpaceDE/>
        <w:autoSpaceDN/>
        <w:adjustRightInd/>
        <w:jc w:val="center"/>
        <w:rPr>
          <w:rFonts w:ascii="Arial Narrow" w:hAnsi="Arial Narrow" w:cs="Arial"/>
          <w:b/>
          <w:bCs/>
          <w:sz w:val="28"/>
          <w:szCs w:val="28"/>
          <w:lang w:val="en-GB"/>
        </w:rPr>
      </w:pPr>
      <w:r w:rsidRPr="00623A95">
        <w:rPr>
          <w:rFonts w:ascii="Arial Narrow" w:hAnsi="Arial Narrow" w:cs="Garamond"/>
          <w:b/>
          <w:sz w:val="28"/>
          <w:szCs w:val="28"/>
          <w:lang w:val="en-GB"/>
        </w:rPr>
        <w:t>February 2015</w:t>
      </w:r>
      <w:r w:rsidRPr="00623A95">
        <w:rPr>
          <w:rFonts w:ascii="Arial Narrow" w:hAnsi="Arial Narrow" w:cs="Arial"/>
          <w:b/>
          <w:bCs/>
          <w:sz w:val="28"/>
          <w:szCs w:val="28"/>
          <w:lang w:val="en-GB"/>
        </w:rPr>
        <w:br w:type="page"/>
      </w:r>
    </w:p>
    <w:p w14:paraId="5A2E28CC" w14:textId="77777777" w:rsidR="00D102DB" w:rsidRDefault="00D102DB" w:rsidP="00A312F8">
      <w:pPr>
        <w:pStyle w:val="Default"/>
        <w:rPr>
          <w:rFonts w:ascii="Arial Narrow" w:hAnsi="Arial Narrow"/>
          <w:b/>
          <w:sz w:val="23"/>
          <w:szCs w:val="23"/>
        </w:rPr>
      </w:pPr>
    </w:p>
    <w:p w14:paraId="3BA02188" w14:textId="77777777" w:rsidR="00D82382" w:rsidRPr="00C939D7" w:rsidRDefault="00D82382" w:rsidP="00A312F8">
      <w:pPr>
        <w:pStyle w:val="Default"/>
        <w:rPr>
          <w:rFonts w:ascii="Arial Narrow" w:hAnsi="Arial Narrow"/>
          <w:b/>
          <w:sz w:val="20"/>
          <w:szCs w:val="20"/>
        </w:rPr>
      </w:pPr>
    </w:p>
    <w:p w14:paraId="479D777F" w14:textId="06A89770" w:rsidR="00A312F8" w:rsidRPr="00C939D7" w:rsidRDefault="00D82382" w:rsidP="00A312F8">
      <w:pPr>
        <w:pStyle w:val="Default"/>
        <w:rPr>
          <w:b/>
          <w:sz w:val="20"/>
          <w:szCs w:val="20"/>
          <w:lang w:val="en-GB"/>
        </w:rPr>
      </w:pPr>
      <w:r w:rsidRPr="00C939D7">
        <w:rPr>
          <w:rFonts w:ascii="Arial Narrow" w:hAnsi="Arial Narrow"/>
          <w:b/>
          <w:sz w:val="20"/>
          <w:szCs w:val="20"/>
        </w:rPr>
        <w:t>Importance Ratings and Summary of Antibacterial Uses in Humans in Australia Version 1.1</w:t>
      </w:r>
    </w:p>
    <w:p w14:paraId="57DA1F2C" w14:textId="77777777" w:rsidR="00590B25" w:rsidRPr="00C939D7" w:rsidRDefault="00590B25">
      <w:pPr>
        <w:widowControl/>
        <w:autoSpaceDE/>
        <w:autoSpaceDN/>
        <w:adjustRightInd/>
        <w:rPr>
          <w:sz w:val="20"/>
          <w:szCs w:val="20"/>
          <w:lang w:val="en-GB"/>
        </w:rPr>
      </w:pPr>
    </w:p>
    <w:p w14:paraId="5A624692" w14:textId="77777777" w:rsidR="00590B25" w:rsidRPr="00D90901" w:rsidRDefault="00590B25" w:rsidP="00590B25">
      <w:pPr>
        <w:pStyle w:val="Default"/>
        <w:rPr>
          <w:rFonts w:ascii="Arial Narrow" w:hAnsi="Arial Narrow"/>
          <w:color w:val="auto"/>
          <w:sz w:val="22"/>
          <w:szCs w:val="22"/>
          <w:lang w:val="en-GB"/>
        </w:rPr>
      </w:pPr>
    </w:p>
    <w:p w14:paraId="2EEA3E67" w14:textId="77777777" w:rsidR="00D90901" w:rsidRPr="00487766" w:rsidRDefault="00D90901" w:rsidP="00D90901">
      <w:pPr>
        <w:rPr>
          <w:rFonts w:ascii="Arial Narrow" w:hAnsi="Arial Narrow" w:cs="Arial"/>
          <w:sz w:val="20"/>
          <w:szCs w:val="20"/>
        </w:rPr>
      </w:pPr>
      <w:r w:rsidRPr="00487766">
        <w:rPr>
          <w:rFonts w:ascii="Arial Narrow" w:hAnsi="Arial Narrow" w:cs="Arial"/>
          <w:sz w:val="20"/>
          <w:szCs w:val="20"/>
        </w:rPr>
        <w:t>Online ISBN: 978-1-76007-247-6</w:t>
      </w:r>
    </w:p>
    <w:p w14:paraId="255954CB" w14:textId="77777777" w:rsidR="00502E0F" w:rsidRDefault="00502E0F" w:rsidP="00590B25">
      <w:pPr>
        <w:widowControl/>
        <w:autoSpaceDE/>
        <w:autoSpaceDN/>
        <w:adjustRightInd/>
        <w:spacing w:before="240" w:after="240" w:line="300" w:lineRule="atLeast"/>
        <w:rPr>
          <w:rFonts w:ascii="Arial Narrow" w:eastAsia="Times New Roman" w:hAnsi="Arial Narrow" w:cs="Helvetica"/>
          <w:b/>
          <w:color w:val="222222"/>
          <w:sz w:val="18"/>
          <w:szCs w:val="18"/>
          <w:lang w:eastAsia="en-AU"/>
        </w:rPr>
      </w:pPr>
    </w:p>
    <w:p w14:paraId="21633797" w14:textId="4E194F68" w:rsidR="00590B25" w:rsidRPr="00590B25" w:rsidRDefault="00C939D7" w:rsidP="00590B25">
      <w:pPr>
        <w:widowControl/>
        <w:autoSpaceDE/>
        <w:autoSpaceDN/>
        <w:adjustRightInd/>
        <w:spacing w:before="240" w:after="240" w:line="300" w:lineRule="atLeast"/>
        <w:rPr>
          <w:rFonts w:ascii="Arial Narrow" w:eastAsia="Times New Roman" w:hAnsi="Arial Narrow" w:cs="Helvetica"/>
          <w:b/>
          <w:color w:val="222222"/>
          <w:sz w:val="18"/>
          <w:szCs w:val="18"/>
          <w:lang w:eastAsia="en-AU"/>
        </w:rPr>
      </w:pPr>
      <w:r>
        <w:rPr>
          <w:rFonts w:ascii="Arial Narrow" w:eastAsia="Times New Roman" w:hAnsi="Arial Narrow" w:cs="Helvetica"/>
          <w:b/>
          <w:color w:val="222222"/>
          <w:sz w:val="18"/>
          <w:szCs w:val="18"/>
          <w:lang w:eastAsia="en-AU"/>
        </w:rPr>
        <w:t>Copyright Statements</w:t>
      </w:r>
    </w:p>
    <w:p w14:paraId="20655CD2" w14:textId="77777777" w:rsidR="00487766" w:rsidRPr="00487766" w:rsidRDefault="00487766" w:rsidP="00487766">
      <w:pPr>
        <w:spacing w:after="240"/>
        <w:rPr>
          <w:rFonts w:ascii="Arial Narrow" w:hAnsi="Arial Narrow" w:cs="Arial"/>
          <w:sz w:val="20"/>
          <w:szCs w:val="20"/>
        </w:rPr>
      </w:pPr>
      <w:r w:rsidRPr="00487766">
        <w:rPr>
          <w:rFonts w:ascii="Arial Narrow" w:hAnsi="Arial Narrow" w:cs="Arial"/>
          <w:sz w:val="20"/>
          <w:szCs w:val="20"/>
        </w:rPr>
        <w:t xml:space="preserve">©  Commonwealth of Australia 2014-2016 </w:t>
      </w:r>
    </w:p>
    <w:p w14:paraId="6BA69AFC" w14:textId="77777777" w:rsidR="00487766" w:rsidRPr="00487766" w:rsidRDefault="00487766" w:rsidP="00487766">
      <w:pPr>
        <w:spacing w:after="240"/>
        <w:jc w:val="both"/>
        <w:rPr>
          <w:rFonts w:ascii="Arial Narrow" w:hAnsi="Arial Narrow" w:cs="Arial"/>
          <w:sz w:val="20"/>
          <w:szCs w:val="20"/>
          <w:lang w:eastAsia="en-AU"/>
        </w:rPr>
      </w:pPr>
      <w:r w:rsidRPr="00487766">
        <w:rPr>
          <w:rFonts w:ascii="Arial Narrow" w:hAnsi="Arial Narrow" w:cs="Arial"/>
          <w:sz w:val="20"/>
          <w:szCs w:val="20"/>
          <w:lang w:eastAsia="en-AU"/>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194A650" w14:textId="77777777" w:rsidR="00487766" w:rsidRPr="00487766" w:rsidRDefault="00487766" w:rsidP="00487766">
      <w:pPr>
        <w:widowControl/>
        <w:numPr>
          <w:ilvl w:val="0"/>
          <w:numId w:val="1"/>
        </w:numPr>
        <w:spacing w:after="240"/>
        <w:ind w:hanging="720"/>
        <w:jc w:val="both"/>
        <w:rPr>
          <w:rFonts w:ascii="Arial Narrow" w:hAnsi="Arial Narrow" w:cs="Arial"/>
          <w:sz w:val="20"/>
          <w:szCs w:val="20"/>
          <w:lang w:eastAsia="en-AU"/>
        </w:rPr>
      </w:pPr>
      <w:r w:rsidRPr="00487766">
        <w:rPr>
          <w:rFonts w:ascii="Arial Narrow" w:hAnsi="Arial Narrow" w:cs="Arial"/>
          <w:sz w:val="20"/>
          <w:szCs w:val="20"/>
          <w:lang w:eastAsia="en-AU"/>
        </w:rPr>
        <w:t>do not use the copy or reproduction for any commercial purpose; and</w:t>
      </w:r>
    </w:p>
    <w:p w14:paraId="6EBD3323" w14:textId="77777777" w:rsidR="00487766" w:rsidRPr="00487766" w:rsidRDefault="00487766" w:rsidP="00487766">
      <w:pPr>
        <w:widowControl/>
        <w:numPr>
          <w:ilvl w:val="0"/>
          <w:numId w:val="1"/>
        </w:numPr>
        <w:spacing w:after="240"/>
        <w:ind w:hanging="720"/>
        <w:jc w:val="both"/>
        <w:rPr>
          <w:rFonts w:ascii="Arial Narrow" w:hAnsi="Arial Narrow" w:cs="Arial"/>
          <w:sz w:val="20"/>
          <w:szCs w:val="20"/>
          <w:lang w:eastAsia="en-AU"/>
        </w:rPr>
      </w:pPr>
      <w:r w:rsidRPr="00487766">
        <w:rPr>
          <w:rFonts w:ascii="Arial Narrow" w:hAnsi="Arial Narrow" w:cs="Arial"/>
          <w:sz w:val="20"/>
          <w:szCs w:val="20"/>
          <w:lang w:eastAsia="en-AU"/>
        </w:rPr>
        <w:t>retain this copyright notice and all disclaimer notices as part of that copy or reproduction.</w:t>
      </w:r>
    </w:p>
    <w:p w14:paraId="6B5FAB17" w14:textId="77777777" w:rsidR="00487766" w:rsidRPr="00487766" w:rsidRDefault="00487766" w:rsidP="00487766">
      <w:pPr>
        <w:spacing w:after="240"/>
        <w:jc w:val="both"/>
        <w:rPr>
          <w:rFonts w:ascii="Arial Narrow" w:hAnsi="Arial Narrow" w:cs="Arial"/>
          <w:sz w:val="20"/>
          <w:szCs w:val="20"/>
          <w:lang w:eastAsia="en-AU"/>
        </w:rPr>
      </w:pPr>
      <w:r w:rsidRPr="00487766">
        <w:rPr>
          <w:rFonts w:ascii="Arial Narrow" w:hAnsi="Arial Narrow" w:cs="Arial"/>
          <w:sz w:val="20"/>
          <w:szCs w:val="20"/>
          <w:lang w:eastAsia="en-AU"/>
        </w:rPr>
        <w:t xml:space="preserve">Apart from rights as permitted by the </w:t>
      </w:r>
      <w:r w:rsidRPr="00487766">
        <w:rPr>
          <w:rFonts w:ascii="Arial Narrow" w:hAnsi="Arial Narrow" w:cs="Arial"/>
          <w:i/>
          <w:iCs/>
          <w:sz w:val="20"/>
          <w:szCs w:val="20"/>
          <w:lang w:eastAsia="en-AU"/>
        </w:rPr>
        <w:t xml:space="preserve">Copyright Act 1968 </w:t>
      </w:r>
      <w:r w:rsidRPr="00487766">
        <w:rPr>
          <w:rFonts w:ascii="Arial Narrow" w:hAnsi="Arial Narrow" w:cs="Arial"/>
          <w:iCs/>
          <w:sz w:val="20"/>
          <w:szCs w:val="20"/>
          <w:lang w:eastAsia="en-AU"/>
        </w:rPr>
        <w:t>(Cth)</w:t>
      </w:r>
      <w:r w:rsidRPr="00487766">
        <w:rPr>
          <w:rFonts w:ascii="Arial Narrow" w:hAnsi="Arial Narrow" w:cs="Arial"/>
          <w:i/>
          <w:iCs/>
          <w:sz w:val="20"/>
          <w:szCs w:val="20"/>
          <w:lang w:eastAsia="en-AU"/>
        </w:rPr>
        <w:t xml:space="preserve"> </w:t>
      </w:r>
      <w:r w:rsidRPr="00487766">
        <w:rPr>
          <w:rFonts w:ascii="Arial Narrow" w:hAnsi="Arial Narrow" w:cs="Arial"/>
          <w:sz w:val="20"/>
          <w:szCs w:val="20"/>
          <w:lang w:eastAsia="en-AU"/>
        </w:rPr>
        <w:t>or allowed by this copyright notice</w:t>
      </w:r>
      <w:r w:rsidRPr="00487766">
        <w:rPr>
          <w:rFonts w:ascii="Arial Narrow" w:hAnsi="Arial Narrow" w:cs="Arial"/>
          <w:i/>
          <w:iCs/>
          <w:sz w:val="20"/>
          <w:szCs w:val="20"/>
          <w:lang w:eastAsia="en-AU"/>
        </w:rPr>
        <w:t xml:space="preserve">, </w:t>
      </w:r>
      <w:r w:rsidRPr="00487766">
        <w:rPr>
          <w:rFonts w:ascii="Arial Narrow" w:hAnsi="Arial Narrow" w:cs="Arial"/>
          <w:sz w:val="20"/>
          <w:szCs w:val="20"/>
          <w:lang w:eastAsia="en-AU"/>
        </w:rPr>
        <w:t>all other rights are reserved, including (but not limited to) all commercial rights.</w:t>
      </w:r>
    </w:p>
    <w:p w14:paraId="5033886A" w14:textId="77777777" w:rsidR="00487766" w:rsidRPr="00487766" w:rsidRDefault="00487766" w:rsidP="00487766">
      <w:pPr>
        <w:spacing w:after="240"/>
        <w:jc w:val="both"/>
        <w:rPr>
          <w:rFonts w:ascii="Arial Narrow" w:hAnsi="Arial Narrow" w:cs="Arial"/>
          <w:sz w:val="20"/>
          <w:szCs w:val="20"/>
        </w:rPr>
      </w:pPr>
      <w:r w:rsidRPr="00487766">
        <w:rPr>
          <w:rFonts w:ascii="Arial Narrow" w:hAnsi="Arial Narrow" w:cs="Arial"/>
          <w:sz w:val="20"/>
          <w:szCs w:val="20"/>
          <w:lang w:eastAsia="en-AU"/>
        </w:rPr>
        <w:t xml:space="preserve">Requests and inquiries concerning reproduction and other rights to use are to be sent to the Communication Branch, Department of Health, GPO Box 9848, Canberra ACT 2601, or via e-mail to </w:t>
      </w:r>
      <w:hyperlink r:id="rId13" w:history="1">
        <w:r w:rsidRPr="00487766">
          <w:rPr>
            <w:rStyle w:val="Hyperlink"/>
            <w:rFonts w:ascii="Arial Narrow" w:hAnsi="Arial Narrow" w:cs="Arial"/>
            <w:sz w:val="20"/>
            <w:szCs w:val="20"/>
            <w:lang w:eastAsia="en-AU"/>
          </w:rPr>
          <w:t>copyright@health.gov.au</w:t>
        </w:r>
      </w:hyperlink>
      <w:r w:rsidRPr="00487766">
        <w:rPr>
          <w:rFonts w:ascii="Arial Narrow" w:hAnsi="Arial Narrow" w:cs="Arial"/>
          <w:sz w:val="20"/>
          <w:szCs w:val="20"/>
          <w:lang w:eastAsia="en-AU"/>
        </w:rPr>
        <w:t>.</w:t>
      </w:r>
      <w:r w:rsidRPr="00487766">
        <w:rPr>
          <w:rFonts w:ascii="Arial Narrow" w:hAnsi="Arial Narrow" w:cs="Arial"/>
          <w:sz w:val="20"/>
          <w:szCs w:val="20"/>
        </w:rPr>
        <w:t xml:space="preserve"> </w:t>
      </w:r>
    </w:p>
    <w:p w14:paraId="059832D4" w14:textId="77777777" w:rsidR="00487766" w:rsidRDefault="00487766" w:rsidP="00C939D7">
      <w:pPr>
        <w:pStyle w:val="Default"/>
        <w:spacing w:before="480" w:after="240" w:line="360" w:lineRule="auto"/>
        <w:rPr>
          <w:rFonts w:ascii="Arial Narrow" w:hAnsi="Arial Narrow"/>
          <w:b/>
          <w:sz w:val="20"/>
          <w:szCs w:val="20"/>
          <w:lang w:val="en-GB"/>
        </w:rPr>
      </w:pPr>
    </w:p>
    <w:p w14:paraId="07DC7592" w14:textId="77777777" w:rsidR="00C939D7" w:rsidRDefault="0066615B" w:rsidP="00C939D7">
      <w:pPr>
        <w:pStyle w:val="Default"/>
        <w:spacing w:before="480" w:after="240" w:line="360" w:lineRule="auto"/>
        <w:rPr>
          <w:rFonts w:ascii="Arial Narrow" w:hAnsi="Arial Narrow"/>
          <w:iCs/>
          <w:sz w:val="20"/>
          <w:szCs w:val="20"/>
        </w:rPr>
      </w:pPr>
      <w:r w:rsidRPr="00C939D7">
        <w:rPr>
          <w:rFonts w:ascii="Arial Narrow" w:hAnsi="Arial Narrow"/>
          <w:b/>
          <w:sz w:val="20"/>
          <w:szCs w:val="20"/>
          <w:lang w:val="en-GB"/>
        </w:rPr>
        <w:t>Disclaimer</w:t>
      </w:r>
      <w:r w:rsidR="004E5593" w:rsidRPr="00C939D7">
        <w:rPr>
          <w:rFonts w:ascii="Arial Narrow" w:hAnsi="Arial Narrow"/>
          <w:iCs/>
          <w:sz w:val="20"/>
          <w:szCs w:val="20"/>
        </w:rPr>
        <w:t xml:space="preserve">  </w:t>
      </w:r>
    </w:p>
    <w:p w14:paraId="46B08230" w14:textId="77777777" w:rsidR="00487766" w:rsidRPr="00487766" w:rsidRDefault="00487766" w:rsidP="00487766">
      <w:pPr>
        <w:pStyle w:val="Default"/>
        <w:jc w:val="both"/>
        <w:rPr>
          <w:rFonts w:ascii="Arial Narrow" w:hAnsi="Arial Narrow" w:cs="Arial"/>
          <w:iCs/>
          <w:sz w:val="20"/>
          <w:szCs w:val="20"/>
        </w:rPr>
      </w:pPr>
      <w:r w:rsidRPr="00487766">
        <w:rPr>
          <w:rFonts w:ascii="Arial Narrow" w:hAnsi="Arial Narrow" w:cs="Arial"/>
          <w:iCs/>
          <w:sz w:val="20"/>
          <w:szCs w:val="20"/>
        </w:rPr>
        <w:t xml:space="preserve">The Commonwealth of Australia (including the members of the </w:t>
      </w:r>
      <w:r w:rsidRPr="00487766">
        <w:rPr>
          <w:rFonts w:ascii="Arial Narrow" w:hAnsi="Arial Narrow" w:cs="Arial"/>
          <w:sz w:val="20"/>
          <w:szCs w:val="20"/>
        </w:rPr>
        <w:t>Australian Strategic and Technical Advisory Group (</w:t>
      </w:r>
      <w:r w:rsidRPr="00487766">
        <w:rPr>
          <w:rFonts w:ascii="Arial Narrow" w:hAnsi="Arial Narrow" w:cs="Arial"/>
          <w:iCs/>
          <w:sz w:val="20"/>
          <w:szCs w:val="20"/>
        </w:rPr>
        <w:t xml:space="preserve">ASTAG)) do not represent or warrant that the information contained in this publication is accurate, current or complete. This publication does not endorse, recommend or promote any particular course of clinical action to be followed. </w:t>
      </w:r>
    </w:p>
    <w:p w14:paraId="7C7F5143" w14:textId="77777777" w:rsidR="00487766" w:rsidRPr="00487766" w:rsidRDefault="00487766" w:rsidP="00487766">
      <w:pPr>
        <w:pStyle w:val="Default"/>
        <w:jc w:val="both"/>
        <w:rPr>
          <w:rFonts w:ascii="Arial Narrow" w:hAnsi="Arial Narrow" w:cs="Arial"/>
          <w:iCs/>
          <w:sz w:val="20"/>
          <w:szCs w:val="20"/>
        </w:rPr>
      </w:pPr>
    </w:p>
    <w:p w14:paraId="3B5D71C6" w14:textId="77777777" w:rsidR="00487766" w:rsidRPr="00487766" w:rsidRDefault="00487766" w:rsidP="00487766">
      <w:pPr>
        <w:pStyle w:val="Default"/>
        <w:jc w:val="both"/>
        <w:rPr>
          <w:rFonts w:ascii="Arial Narrow" w:hAnsi="Arial Narrow" w:cs="Arial"/>
          <w:iCs/>
          <w:sz w:val="20"/>
          <w:szCs w:val="20"/>
        </w:rPr>
      </w:pPr>
      <w:r w:rsidRPr="00487766">
        <w:rPr>
          <w:rFonts w:ascii="Arial Narrow" w:hAnsi="Arial Narrow" w:cs="Arial"/>
          <w:iCs/>
          <w:sz w:val="20"/>
          <w:szCs w:val="20"/>
        </w:rPr>
        <w:t>To the extent permitted by law, the Commonwealth of Australia (including the members of ASTAG) does not accept any legal liability or responsibility for any loss, damages, costs or expenses incurred by the use of, or reliance on, the information contained in this publication.</w:t>
      </w:r>
    </w:p>
    <w:p w14:paraId="62E7B88D" w14:textId="32AD97E5" w:rsidR="00487766" w:rsidRPr="004D4D46" w:rsidRDefault="00487766" w:rsidP="00487766">
      <w:pPr>
        <w:spacing w:before="240" w:after="240"/>
        <w:rPr>
          <w:rFonts w:ascii="Arial" w:hAnsi="Arial" w:cs="Arial"/>
          <w:iCs/>
          <w:sz w:val="20"/>
          <w:szCs w:val="20"/>
        </w:rPr>
      </w:pPr>
      <w:r w:rsidRPr="00487766">
        <w:rPr>
          <w:rFonts w:ascii="Arial Narrow" w:hAnsi="Arial Narrow" w:cs="Arial"/>
          <w:iCs/>
          <w:sz w:val="20"/>
          <w:szCs w:val="20"/>
        </w:rPr>
        <w:t>The information in this publication is not medical advice and must never be used for medical treatment without medical advice from a qualified medical professional</w:t>
      </w:r>
      <w:r w:rsidR="00981AAD">
        <w:rPr>
          <w:rFonts w:ascii="Arial Narrow" w:hAnsi="Arial Narrow" w:cs="Arial"/>
          <w:iCs/>
          <w:sz w:val="20"/>
          <w:szCs w:val="20"/>
        </w:rPr>
        <w:t>.</w:t>
      </w:r>
    </w:p>
    <w:p w14:paraId="13E6FC80" w14:textId="50401D4A" w:rsidR="00487766" w:rsidRPr="0033012D" w:rsidRDefault="00487766" w:rsidP="00487766">
      <w:pPr>
        <w:pStyle w:val="Default"/>
        <w:jc w:val="both"/>
        <w:rPr>
          <w:rFonts w:ascii="Arial" w:hAnsi="Arial" w:cs="Arial"/>
          <w:sz w:val="20"/>
          <w:szCs w:val="20"/>
          <w:lang w:val="en-GB"/>
        </w:rPr>
      </w:pPr>
      <w:r w:rsidRPr="0033012D">
        <w:rPr>
          <w:rFonts w:ascii="Arial" w:hAnsi="Arial" w:cs="Arial"/>
          <w:iCs/>
          <w:sz w:val="20"/>
          <w:szCs w:val="20"/>
        </w:rPr>
        <w:t>.</w:t>
      </w:r>
      <w:r w:rsidRPr="0033012D">
        <w:rPr>
          <w:rFonts w:ascii="Arial" w:hAnsi="Arial" w:cs="Arial"/>
          <w:sz w:val="20"/>
          <w:szCs w:val="20"/>
          <w:lang w:val="en-GB"/>
        </w:rPr>
        <w:t xml:space="preserve"> </w:t>
      </w:r>
    </w:p>
    <w:p w14:paraId="0A15847F" w14:textId="3C081762" w:rsidR="00C939D7" w:rsidRDefault="00C939D7">
      <w:pPr>
        <w:widowControl/>
        <w:autoSpaceDE/>
        <w:autoSpaceDN/>
        <w:adjustRightInd/>
        <w:rPr>
          <w:color w:val="000000"/>
          <w:lang w:val="en-GB"/>
        </w:rPr>
      </w:pPr>
      <w:r>
        <w:rPr>
          <w:lang w:val="en-GB"/>
        </w:rPr>
        <w:br w:type="page"/>
      </w:r>
    </w:p>
    <w:p w14:paraId="1D75D2D6" w14:textId="77777777" w:rsidR="00996F0A" w:rsidRDefault="00996F0A" w:rsidP="00996F0A">
      <w:pPr>
        <w:pStyle w:val="Default"/>
        <w:rPr>
          <w:lang w:val="en-GB"/>
        </w:rPr>
      </w:pPr>
    </w:p>
    <w:sdt>
      <w:sdtPr>
        <w:rPr>
          <w:rFonts w:ascii="Times New Roman" w:eastAsia="MS Mincho" w:hAnsi="Times New Roman" w:cs="Times New Roman"/>
          <w:b w:val="0"/>
          <w:bCs w:val="0"/>
          <w:color w:val="auto"/>
          <w:sz w:val="24"/>
          <w:szCs w:val="24"/>
          <w:lang w:val="en-AU"/>
        </w:rPr>
        <w:id w:val="1587810875"/>
        <w:docPartObj>
          <w:docPartGallery w:val="Table of Contents"/>
          <w:docPartUnique/>
        </w:docPartObj>
      </w:sdtPr>
      <w:sdtEndPr>
        <w:rPr>
          <w:noProof/>
          <w:sz w:val="22"/>
        </w:rPr>
      </w:sdtEndPr>
      <w:sdtContent>
        <w:p w14:paraId="57AC184B" w14:textId="33F73FAC" w:rsidR="004A22B9" w:rsidRPr="004A22B9" w:rsidRDefault="004A22B9" w:rsidP="00E47DCA">
          <w:pPr>
            <w:pStyle w:val="TOCHeading"/>
            <w:spacing w:line="480" w:lineRule="auto"/>
            <w:rPr>
              <w:rFonts w:ascii="Arial Narrow" w:hAnsi="Arial Narrow"/>
              <w:color w:val="auto"/>
              <w:sz w:val="36"/>
            </w:rPr>
          </w:pPr>
          <w:r w:rsidRPr="004A22B9">
            <w:rPr>
              <w:rFonts w:ascii="Arial Narrow" w:hAnsi="Arial Narrow"/>
              <w:color w:val="auto"/>
              <w:sz w:val="36"/>
            </w:rPr>
            <w:t>Contents</w:t>
          </w:r>
        </w:p>
        <w:p w14:paraId="4E746899" w14:textId="77777777" w:rsidR="00525452" w:rsidRPr="00E47DCA" w:rsidRDefault="004A22B9" w:rsidP="00E47DCA">
          <w:pPr>
            <w:pStyle w:val="TOC1"/>
            <w:tabs>
              <w:tab w:val="right" w:leader="dot" w:pos="9962"/>
            </w:tabs>
            <w:spacing w:line="480" w:lineRule="auto"/>
            <w:rPr>
              <w:rFonts w:ascii="Arial Narrow" w:eastAsiaTheme="minorEastAsia" w:hAnsi="Arial Narrow" w:cstheme="minorBidi"/>
              <w:noProof/>
              <w:lang w:eastAsia="en-AU"/>
            </w:rPr>
          </w:pPr>
          <w:r w:rsidRPr="004A22B9">
            <w:rPr>
              <w:rFonts w:ascii="Arial Narrow" w:hAnsi="Arial Narrow"/>
              <w:sz w:val="22"/>
            </w:rPr>
            <w:fldChar w:fldCharType="begin"/>
          </w:r>
          <w:r w:rsidRPr="004A22B9">
            <w:rPr>
              <w:rFonts w:ascii="Arial Narrow" w:hAnsi="Arial Narrow"/>
              <w:sz w:val="22"/>
            </w:rPr>
            <w:instrText xml:space="preserve"> TOC \o "1-3" \h \z \u </w:instrText>
          </w:r>
          <w:r w:rsidRPr="004A22B9">
            <w:rPr>
              <w:rFonts w:ascii="Arial Narrow" w:hAnsi="Arial Narrow"/>
              <w:sz w:val="22"/>
            </w:rPr>
            <w:fldChar w:fldCharType="separate"/>
          </w:r>
          <w:hyperlink w:anchor="_Toc441841815" w:history="1">
            <w:r w:rsidR="00525452" w:rsidRPr="00E47DCA">
              <w:rPr>
                <w:rStyle w:val="Hyperlink"/>
                <w:rFonts w:ascii="Arial Narrow" w:hAnsi="Arial Narrow"/>
                <w:noProof/>
                <w:lang w:val="en-GB"/>
              </w:rPr>
              <w:t>Purpose</w:t>
            </w:r>
            <w:r w:rsidR="00525452" w:rsidRPr="00E47DCA">
              <w:rPr>
                <w:rFonts w:ascii="Arial Narrow" w:hAnsi="Arial Narrow"/>
                <w:noProof/>
                <w:webHidden/>
              </w:rPr>
              <w:tab/>
            </w:r>
            <w:r w:rsidR="00525452" w:rsidRPr="00E47DCA">
              <w:rPr>
                <w:rFonts w:ascii="Arial Narrow" w:hAnsi="Arial Narrow"/>
                <w:noProof/>
                <w:webHidden/>
              </w:rPr>
              <w:fldChar w:fldCharType="begin"/>
            </w:r>
            <w:r w:rsidR="00525452" w:rsidRPr="00E47DCA">
              <w:rPr>
                <w:rFonts w:ascii="Arial Narrow" w:hAnsi="Arial Narrow"/>
                <w:noProof/>
                <w:webHidden/>
              </w:rPr>
              <w:instrText xml:space="preserve"> PAGEREF _Toc441841815 \h </w:instrText>
            </w:r>
            <w:r w:rsidR="00525452" w:rsidRPr="00E47DCA">
              <w:rPr>
                <w:rFonts w:ascii="Arial Narrow" w:hAnsi="Arial Narrow"/>
                <w:noProof/>
                <w:webHidden/>
              </w:rPr>
            </w:r>
            <w:r w:rsidR="00525452" w:rsidRPr="00E47DCA">
              <w:rPr>
                <w:rFonts w:ascii="Arial Narrow" w:hAnsi="Arial Narrow"/>
                <w:noProof/>
                <w:webHidden/>
              </w:rPr>
              <w:fldChar w:fldCharType="separate"/>
            </w:r>
            <w:r w:rsidR="00FD1782">
              <w:rPr>
                <w:rFonts w:ascii="Arial Narrow" w:hAnsi="Arial Narrow"/>
                <w:noProof/>
                <w:webHidden/>
              </w:rPr>
              <w:t>5</w:t>
            </w:r>
            <w:r w:rsidR="00525452" w:rsidRPr="00E47DCA">
              <w:rPr>
                <w:rFonts w:ascii="Arial Narrow" w:hAnsi="Arial Narrow"/>
                <w:noProof/>
                <w:webHidden/>
              </w:rPr>
              <w:fldChar w:fldCharType="end"/>
            </w:r>
          </w:hyperlink>
        </w:p>
        <w:p w14:paraId="62DD8BBF" w14:textId="77777777" w:rsidR="00525452" w:rsidRPr="00E47DCA" w:rsidRDefault="00FD1782" w:rsidP="00E47DCA">
          <w:pPr>
            <w:pStyle w:val="TOC1"/>
            <w:tabs>
              <w:tab w:val="right" w:leader="dot" w:pos="9962"/>
            </w:tabs>
            <w:spacing w:line="480" w:lineRule="auto"/>
            <w:rPr>
              <w:rFonts w:ascii="Arial Narrow" w:eastAsiaTheme="minorEastAsia" w:hAnsi="Arial Narrow" w:cstheme="minorBidi"/>
              <w:noProof/>
              <w:lang w:eastAsia="en-AU"/>
            </w:rPr>
          </w:pPr>
          <w:hyperlink w:anchor="_Toc441841816" w:history="1">
            <w:r w:rsidR="00525452" w:rsidRPr="00E47DCA">
              <w:rPr>
                <w:rStyle w:val="Hyperlink"/>
                <w:rFonts w:ascii="Arial Narrow" w:hAnsi="Arial Narrow"/>
                <w:noProof/>
                <w:lang w:val="en-GB"/>
              </w:rPr>
              <w:t>Background</w:t>
            </w:r>
            <w:r w:rsidR="00525452" w:rsidRPr="00E47DCA">
              <w:rPr>
                <w:rFonts w:ascii="Arial Narrow" w:hAnsi="Arial Narrow"/>
                <w:noProof/>
                <w:webHidden/>
              </w:rPr>
              <w:tab/>
            </w:r>
            <w:r w:rsidR="00525452" w:rsidRPr="00E47DCA">
              <w:rPr>
                <w:rFonts w:ascii="Arial Narrow" w:hAnsi="Arial Narrow"/>
                <w:noProof/>
                <w:webHidden/>
              </w:rPr>
              <w:fldChar w:fldCharType="begin"/>
            </w:r>
            <w:r w:rsidR="00525452" w:rsidRPr="00E47DCA">
              <w:rPr>
                <w:rFonts w:ascii="Arial Narrow" w:hAnsi="Arial Narrow"/>
                <w:noProof/>
                <w:webHidden/>
              </w:rPr>
              <w:instrText xml:space="preserve"> PAGEREF _Toc441841816 \h </w:instrText>
            </w:r>
            <w:r w:rsidR="00525452" w:rsidRPr="00E47DCA">
              <w:rPr>
                <w:rFonts w:ascii="Arial Narrow" w:hAnsi="Arial Narrow"/>
                <w:noProof/>
                <w:webHidden/>
              </w:rPr>
            </w:r>
            <w:r w:rsidR="00525452" w:rsidRPr="00E47DCA">
              <w:rPr>
                <w:rFonts w:ascii="Arial Narrow" w:hAnsi="Arial Narrow"/>
                <w:noProof/>
                <w:webHidden/>
              </w:rPr>
              <w:fldChar w:fldCharType="separate"/>
            </w:r>
            <w:r>
              <w:rPr>
                <w:rFonts w:ascii="Arial Narrow" w:hAnsi="Arial Narrow"/>
                <w:noProof/>
                <w:webHidden/>
              </w:rPr>
              <w:t>5</w:t>
            </w:r>
            <w:r w:rsidR="00525452" w:rsidRPr="00E47DCA">
              <w:rPr>
                <w:rFonts w:ascii="Arial Narrow" w:hAnsi="Arial Narrow"/>
                <w:noProof/>
                <w:webHidden/>
              </w:rPr>
              <w:fldChar w:fldCharType="end"/>
            </w:r>
          </w:hyperlink>
        </w:p>
        <w:p w14:paraId="68471A3E" w14:textId="77777777" w:rsidR="00525452" w:rsidRPr="00E47DCA" w:rsidRDefault="00FD1782" w:rsidP="00E47DCA">
          <w:pPr>
            <w:pStyle w:val="TOC1"/>
            <w:tabs>
              <w:tab w:val="right" w:leader="dot" w:pos="9962"/>
            </w:tabs>
            <w:spacing w:line="480" w:lineRule="auto"/>
            <w:rPr>
              <w:rFonts w:ascii="Arial Narrow" w:eastAsiaTheme="minorEastAsia" w:hAnsi="Arial Narrow" w:cstheme="minorBidi"/>
              <w:noProof/>
              <w:lang w:eastAsia="en-AU"/>
            </w:rPr>
          </w:pPr>
          <w:hyperlink w:anchor="_Toc441841817" w:history="1">
            <w:r w:rsidR="00525452" w:rsidRPr="00E47DCA">
              <w:rPr>
                <w:rStyle w:val="Hyperlink"/>
                <w:rFonts w:ascii="Arial Narrow" w:hAnsi="Arial Narrow"/>
                <w:noProof/>
                <w:lang w:val="en-GB"/>
              </w:rPr>
              <w:t>A note to readers</w:t>
            </w:r>
            <w:r w:rsidR="00525452" w:rsidRPr="00E47DCA">
              <w:rPr>
                <w:rFonts w:ascii="Arial Narrow" w:hAnsi="Arial Narrow"/>
                <w:noProof/>
                <w:webHidden/>
              </w:rPr>
              <w:tab/>
            </w:r>
            <w:r w:rsidR="00525452" w:rsidRPr="00E47DCA">
              <w:rPr>
                <w:rFonts w:ascii="Arial Narrow" w:hAnsi="Arial Narrow"/>
                <w:noProof/>
                <w:webHidden/>
              </w:rPr>
              <w:fldChar w:fldCharType="begin"/>
            </w:r>
            <w:r w:rsidR="00525452" w:rsidRPr="00E47DCA">
              <w:rPr>
                <w:rFonts w:ascii="Arial Narrow" w:hAnsi="Arial Narrow"/>
                <w:noProof/>
                <w:webHidden/>
              </w:rPr>
              <w:instrText xml:space="preserve"> PAGEREF _Toc441841817 \h </w:instrText>
            </w:r>
            <w:r w:rsidR="00525452" w:rsidRPr="00E47DCA">
              <w:rPr>
                <w:rFonts w:ascii="Arial Narrow" w:hAnsi="Arial Narrow"/>
                <w:noProof/>
                <w:webHidden/>
              </w:rPr>
            </w:r>
            <w:r w:rsidR="00525452" w:rsidRPr="00E47DCA">
              <w:rPr>
                <w:rFonts w:ascii="Arial Narrow" w:hAnsi="Arial Narrow"/>
                <w:noProof/>
                <w:webHidden/>
              </w:rPr>
              <w:fldChar w:fldCharType="separate"/>
            </w:r>
            <w:r>
              <w:rPr>
                <w:rFonts w:ascii="Arial Narrow" w:hAnsi="Arial Narrow"/>
                <w:noProof/>
                <w:webHidden/>
              </w:rPr>
              <w:t>5</w:t>
            </w:r>
            <w:r w:rsidR="00525452" w:rsidRPr="00E47DCA">
              <w:rPr>
                <w:rFonts w:ascii="Arial Narrow" w:hAnsi="Arial Narrow"/>
                <w:noProof/>
                <w:webHidden/>
              </w:rPr>
              <w:fldChar w:fldCharType="end"/>
            </w:r>
          </w:hyperlink>
        </w:p>
        <w:p w14:paraId="0AC6A008" w14:textId="02086C69" w:rsidR="00525452" w:rsidRPr="00E47DCA" w:rsidRDefault="00FD1782" w:rsidP="00E47DCA">
          <w:pPr>
            <w:pStyle w:val="TOC1"/>
            <w:tabs>
              <w:tab w:val="right" w:leader="dot" w:pos="9962"/>
            </w:tabs>
            <w:spacing w:line="480" w:lineRule="auto"/>
            <w:rPr>
              <w:rFonts w:ascii="Arial Narrow" w:eastAsiaTheme="minorEastAsia" w:hAnsi="Arial Narrow" w:cstheme="minorBidi"/>
              <w:noProof/>
              <w:lang w:eastAsia="en-AU"/>
            </w:rPr>
          </w:pPr>
          <w:hyperlink w:anchor="_Toc441841818" w:history="1">
            <w:r w:rsidR="00525452" w:rsidRPr="00E47DCA">
              <w:rPr>
                <w:rStyle w:val="Hyperlink"/>
                <w:rFonts w:ascii="Arial Narrow" w:hAnsi="Arial Narrow"/>
                <w:noProof/>
                <w:lang w:val="en-GB"/>
              </w:rPr>
              <w:t>TABLE 1  Antibacterial agents used in human health in Australia</w:t>
            </w:r>
            <w:r w:rsidR="00525452" w:rsidRPr="00E47DCA">
              <w:rPr>
                <w:rFonts w:ascii="Arial Narrow" w:hAnsi="Arial Narrow"/>
                <w:noProof/>
                <w:webHidden/>
              </w:rPr>
              <w:tab/>
            </w:r>
            <w:r w:rsidR="00642DBE">
              <w:rPr>
                <w:rFonts w:ascii="Arial Narrow" w:hAnsi="Arial Narrow"/>
                <w:noProof/>
                <w:webHidden/>
              </w:rPr>
              <w:t>6</w:t>
            </w:r>
          </w:hyperlink>
        </w:p>
        <w:p w14:paraId="00F60EC7" w14:textId="3A44A1BE" w:rsidR="00525452" w:rsidRPr="00E47DCA" w:rsidRDefault="00FD1782" w:rsidP="00E47DCA">
          <w:pPr>
            <w:pStyle w:val="TOC1"/>
            <w:tabs>
              <w:tab w:val="right" w:leader="dot" w:pos="9962"/>
            </w:tabs>
            <w:spacing w:line="480" w:lineRule="auto"/>
            <w:rPr>
              <w:rFonts w:ascii="Arial Narrow" w:eastAsiaTheme="minorEastAsia" w:hAnsi="Arial Narrow" w:cstheme="minorBidi"/>
              <w:noProof/>
              <w:lang w:eastAsia="en-AU"/>
            </w:rPr>
          </w:pPr>
          <w:hyperlink w:anchor="_Toc441841819" w:history="1">
            <w:r w:rsidR="00525452" w:rsidRPr="00E47DCA">
              <w:rPr>
                <w:rStyle w:val="Hyperlink"/>
                <w:rFonts w:ascii="Arial Narrow" w:hAnsi="Arial Narrow"/>
                <w:noProof/>
                <w:lang w:val="en-GB"/>
              </w:rPr>
              <w:t>LEGEND for TABLE 1</w:t>
            </w:r>
            <w:r w:rsidR="00525452" w:rsidRPr="00E47DCA">
              <w:rPr>
                <w:rFonts w:ascii="Arial Narrow" w:hAnsi="Arial Narrow"/>
                <w:noProof/>
                <w:webHidden/>
              </w:rPr>
              <w:tab/>
            </w:r>
            <w:r w:rsidR="00525452" w:rsidRPr="00E47DCA">
              <w:rPr>
                <w:rFonts w:ascii="Arial Narrow" w:hAnsi="Arial Narrow"/>
                <w:noProof/>
                <w:webHidden/>
              </w:rPr>
              <w:fldChar w:fldCharType="begin"/>
            </w:r>
            <w:r w:rsidR="00525452" w:rsidRPr="00E47DCA">
              <w:rPr>
                <w:rFonts w:ascii="Arial Narrow" w:hAnsi="Arial Narrow"/>
                <w:noProof/>
                <w:webHidden/>
              </w:rPr>
              <w:instrText xml:space="preserve"> PAGEREF _Toc441841819 \h </w:instrText>
            </w:r>
            <w:r w:rsidR="00525452" w:rsidRPr="00E47DCA">
              <w:rPr>
                <w:rFonts w:ascii="Arial Narrow" w:hAnsi="Arial Narrow"/>
                <w:noProof/>
                <w:webHidden/>
              </w:rPr>
            </w:r>
            <w:r w:rsidR="00525452" w:rsidRPr="00E47DCA">
              <w:rPr>
                <w:rFonts w:ascii="Arial Narrow" w:hAnsi="Arial Narrow"/>
                <w:noProof/>
                <w:webHidden/>
              </w:rPr>
              <w:fldChar w:fldCharType="separate"/>
            </w:r>
            <w:r>
              <w:rPr>
                <w:rFonts w:ascii="Arial Narrow" w:hAnsi="Arial Narrow"/>
                <w:noProof/>
                <w:webHidden/>
              </w:rPr>
              <w:t>12</w:t>
            </w:r>
            <w:r w:rsidR="00525452" w:rsidRPr="00E47DCA">
              <w:rPr>
                <w:rFonts w:ascii="Arial Narrow" w:hAnsi="Arial Narrow"/>
                <w:noProof/>
                <w:webHidden/>
              </w:rPr>
              <w:fldChar w:fldCharType="end"/>
            </w:r>
          </w:hyperlink>
        </w:p>
        <w:p w14:paraId="7AA1A0C9" w14:textId="75FDCE83" w:rsidR="00525452" w:rsidRPr="00E47DCA" w:rsidRDefault="00FD1782" w:rsidP="00E47DCA">
          <w:pPr>
            <w:pStyle w:val="TOC1"/>
            <w:tabs>
              <w:tab w:val="right" w:leader="dot" w:pos="9962"/>
            </w:tabs>
            <w:spacing w:line="480" w:lineRule="auto"/>
            <w:rPr>
              <w:rFonts w:ascii="Arial Narrow" w:eastAsiaTheme="minorEastAsia" w:hAnsi="Arial Narrow" w:cstheme="minorBidi"/>
              <w:noProof/>
              <w:lang w:eastAsia="en-AU"/>
            </w:rPr>
          </w:pPr>
          <w:hyperlink w:anchor="_Toc441841820" w:history="1">
            <w:r w:rsidR="00525452" w:rsidRPr="00E47DCA">
              <w:rPr>
                <w:rStyle w:val="Hyperlink"/>
                <w:rFonts w:ascii="Arial Narrow" w:hAnsi="Arial Narrow"/>
                <w:noProof/>
                <w:lang w:val="en-GB"/>
              </w:rPr>
              <w:t>TABLE 2  Antibacterials not included in Table 1 but with the potential to select for cross resistance to antibacterials used in Table 1</w:t>
            </w:r>
            <w:r w:rsidR="00525452" w:rsidRPr="00E47DCA">
              <w:rPr>
                <w:rFonts w:ascii="Arial Narrow" w:hAnsi="Arial Narrow"/>
                <w:noProof/>
                <w:webHidden/>
              </w:rPr>
              <w:tab/>
            </w:r>
            <w:r w:rsidR="00525452" w:rsidRPr="00E47DCA">
              <w:rPr>
                <w:rFonts w:ascii="Arial Narrow" w:hAnsi="Arial Narrow"/>
                <w:noProof/>
                <w:webHidden/>
              </w:rPr>
              <w:fldChar w:fldCharType="begin"/>
            </w:r>
            <w:r w:rsidR="00525452" w:rsidRPr="00E47DCA">
              <w:rPr>
                <w:rFonts w:ascii="Arial Narrow" w:hAnsi="Arial Narrow"/>
                <w:noProof/>
                <w:webHidden/>
              </w:rPr>
              <w:instrText xml:space="preserve"> PAGEREF _Toc441841820 \h </w:instrText>
            </w:r>
            <w:r w:rsidR="00525452" w:rsidRPr="00E47DCA">
              <w:rPr>
                <w:rFonts w:ascii="Arial Narrow" w:hAnsi="Arial Narrow"/>
                <w:noProof/>
                <w:webHidden/>
              </w:rPr>
            </w:r>
            <w:r w:rsidR="00525452" w:rsidRPr="00E47DCA">
              <w:rPr>
                <w:rFonts w:ascii="Arial Narrow" w:hAnsi="Arial Narrow"/>
                <w:noProof/>
                <w:webHidden/>
              </w:rPr>
              <w:fldChar w:fldCharType="separate"/>
            </w:r>
            <w:r>
              <w:rPr>
                <w:rFonts w:ascii="Arial Narrow" w:hAnsi="Arial Narrow"/>
                <w:noProof/>
                <w:webHidden/>
              </w:rPr>
              <w:t>13</w:t>
            </w:r>
            <w:r w:rsidR="00525452" w:rsidRPr="00E47DCA">
              <w:rPr>
                <w:rFonts w:ascii="Arial Narrow" w:hAnsi="Arial Narrow"/>
                <w:noProof/>
                <w:webHidden/>
              </w:rPr>
              <w:fldChar w:fldCharType="end"/>
            </w:r>
          </w:hyperlink>
        </w:p>
        <w:p w14:paraId="5F097D37" w14:textId="228C6888" w:rsidR="00996F0A" w:rsidRPr="004E5593" w:rsidRDefault="004A22B9" w:rsidP="004E5593">
          <w:pPr>
            <w:spacing w:line="360" w:lineRule="auto"/>
            <w:rPr>
              <w:sz w:val="22"/>
            </w:rPr>
          </w:pPr>
          <w:r w:rsidRPr="004A22B9">
            <w:rPr>
              <w:rFonts w:ascii="Arial Narrow" w:hAnsi="Arial Narrow"/>
              <w:b/>
              <w:bCs/>
              <w:noProof/>
              <w:sz w:val="22"/>
            </w:rPr>
            <w:fldChar w:fldCharType="end"/>
          </w:r>
        </w:p>
      </w:sdtContent>
    </w:sdt>
    <w:p w14:paraId="7E685534" w14:textId="7F92DD08" w:rsidR="0066615B" w:rsidRDefault="00A312F8" w:rsidP="004E5593">
      <w:pPr>
        <w:widowControl/>
        <w:autoSpaceDE/>
        <w:autoSpaceDN/>
        <w:adjustRightInd/>
        <w:rPr>
          <w:rFonts w:ascii="Arial Narrow" w:hAnsi="Arial Narrow"/>
          <w:lang w:val="en-GB"/>
        </w:rPr>
      </w:pPr>
      <w:r>
        <w:rPr>
          <w:rFonts w:ascii="Arial Narrow" w:hAnsi="Arial Narrow"/>
          <w:lang w:val="en-GB"/>
        </w:rPr>
        <w:br w:type="page"/>
      </w:r>
    </w:p>
    <w:p w14:paraId="4D17AC8E" w14:textId="72FCAE9B" w:rsidR="00C53917" w:rsidRPr="0066615B" w:rsidRDefault="0066615B" w:rsidP="00C53917">
      <w:pPr>
        <w:pStyle w:val="1h1"/>
        <w:spacing w:before="120" w:after="120"/>
        <w:rPr>
          <w:rFonts w:ascii="Arial Narrow" w:hAnsi="Arial Narrow"/>
          <w:b/>
          <w:color w:val="auto"/>
          <w:sz w:val="32"/>
          <w:szCs w:val="32"/>
          <w:lang w:val="en-GB"/>
        </w:rPr>
      </w:pPr>
      <w:r w:rsidRPr="0066615B">
        <w:rPr>
          <w:rFonts w:ascii="Arial Narrow" w:hAnsi="Arial Narrow"/>
          <w:b/>
          <w:color w:val="auto"/>
          <w:sz w:val="32"/>
          <w:szCs w:val="32"/>
          <w:lang w:val="en-GB"/>
        </w:rPr>
        <w:lastRenderedPageBreak/>
        <w:t>Version control</w:t>
      </w:r>
    </w:p>
    <w:p w14:paraId="0FB1F322" w14:textId="193171F5" w:rsidR="00687565" w:rsidRDefault="00C53917" w:rsidP="00C53917">
      <w:pPr>
        <w:pStyle w:val="2intro"/>
        <w:spacing w:before="120" w:after="240"/>
        <w:rPr>
          <w:rFonts w:ascii="Arial Narrow" w:hAnsi="Arial Narrow" w:cs="Times New Roman"/>
          <w:color w:val="auto"/>
          <w:sz w:val="23"/>
          <w:szCs w:val="23"/>
          <w:lang w:val="en-GB"/>
        </w:rPr>
      </w:pPr>
      <w:r w:rsidRPr="0066615B">
        <w:rPr>
          <w:rFonts w:ascii="Arial Narrow" w:hAnsi="Arial Narrow" w:cs="Times New Roman"/>
          <w:color w:val="auto"/>
          <w:sz w:val="23"/>
          <w:szCs w:val="23"/>
          <w:lang w:val="en-GB"/>
        </w:rPr>
        <w:t xml:space="preserve">The Importance Ratings and Summary of Antibacterial Uses in Humans in Australia </w:t>
      </w:r>
      <w:r w:rsidR="00BA756C" w:rsidRPr="0066615B">
        <w:rPr>
          <w:rFonts w:ascii="Arial Narrow" w:hAnsi="Arial Narrow" w:cs="Times New Roman"/>
          <w:color w:val="auto"/>
          <w:sz w:val="23"/>
          <w:szCs w:val="23"/>
          <w:lang w:val="en-GB"/>
        </w:rPr>
        <w:t xml:space="preserve">document </w:t>
      </w:r>
      <w:r w:rsidRPr="0066615B">
        <w:rPr>
          <w:rFonts w:ascii="Arial Narrow" w:hAnsi="Arial Narrow" w:cs="Times New Roman"/>
          <w:color w:val="auto"/>
          <w:sz w:val="23"/>
          <w:szCs w:val="23"/>
          <w:lang w:val="en-GB"/>
        </w:rPr>
        <w:t>(the “Antibacterial Importance Ratings”) was</w:t>
      </w:r>
      <w:r w:rsidR="00687565" w:rsidRPr="0066615B">
        <w:rPr>
          <w:rFonts w:ascii="Arial Narrow" w:hAnsi="Arial Narrow" w:cs="Times New Roman"/>
          <w:color w:val="auto"/>
          <w:sz w:val="23"/>
          <w:szCs w:val="23"/>
          <w:lang w:val="en-GB"/>
        </w:rPr>
        <w:t xml:space="preserve"> reviewed by the Australian Strategic and Technical Advisory Group on AMR (ASTAG) in February 2015.  Some amendments were made, </w:t>
      </w:r>
      <w:r w:rsidR="00BA756C" w:rsidRPr="0066615B">
        <w:rPr>
          <w:rFonts w:ascii="Arial Narrow" w:hAnsi="Arial Narrow" w:cs="Times New Roman"/>
          <w:color w:val="auto"/>
          <w:sz w:val="23"/>
          <w:szCs w:val="23"/>
          <w:lang w:val="en-GB"/>
        </w:rPr>
        <w:t xml:space="preserve">which are </w:t>
      </w:r>
      <w:r w:rsidR="00687565" w:rsidRPr="0066615B">
        <w:rPr>
          <w:rFonts w:ascii="Arial Narrow" w:hAnsi="Arial Narrow" w:cs="Times New Roman"/>
          <w:color w:val="auto"/>
          <w:sz w:val="23"/>
          <w:szCs w:val="23"/>
          <w:lang w:val="en-GB"/>
        </w:rPr>
        <w:t>reflected in this version 1.1.</w:t>
      </w:r>
    </w:p>
    <w:p w14:paraId="2C6F6871" w14:textId="77777777" w:rsidR="00122735" w:rsidRDefault="00122735" w:rsidP="00122735">
      <w:pPr>
        <w:pStyle w:val="2body"/>
        <w:spacing w:beforeLines="0" w:afterLines="0"/>
        <w:rPr>
          <w:rFonts w:ascii="Arial Narrow" w:hAnsi="Arial Narrow" w:cs="Times New Roman"/>
          <w:sz w:val="23"/>
          <w:szCs w:val="23"/>
          <w:lang w:val="en-GB"/>
        </w:rPr>
      </w:pPr>
    </w:p>
    <w:p w14:paraId="4906776A" w14:textId="77777777" w:rsidR="00122735" w:rsidRDefault="00122735" w:rsidP="00122735">
      <w:pPr>
        <w:pStyle w:val="2body"/>
        <w:spacing w:beforeLines="0" w:afterLines="0"/>
        <w:rPr>
          <w:rFonts w:ascii="Arial Narrow" w:hAnsi="Arial Narrow" w:cs="Times New Roman"/>
          <w:sz w:val="23"/>
          <w:szCs w:val="23"/>
          <w:lang w:val="en-GB"/>
        </w:rPr>
      </w:pPr>
    </w:p>
    <w:p w14:paraId="40EF03BE" w14:textId="69CA7709" w:rsidR="00122735" w:rsidRDefault="00122735" w:rsidP="00122735">
      <w:pPr>
        <w:pStyle w:val="2body"/>
        <w:spacing w:beforeLines="0" w:afterLines="0"/>
        <w:rPr>
          <w:rFonts w:ascii="Arial Narrow" w:hAnsi="Arial Narrow" w:cs="Times New Roman"/>
          <w:sz w:val="23"/>
          <w:szCs w:val="23"/>
          <w:lang w:val="en-GB"/>
        </w:rPr>
      </w:pPr>
      <w:r w:rsidRPr="006D3FB1">
        <w:rPr>
          <w:rFonts w:ascii="Arial Narrow" w:hAnsi="Arial Narrow" w:cs="Times New Roman"/>
          <w:sz w:val="23"/>
          <w:szCs w:val="23"/>
          <w:lang w:val="en-GB"/>
        </w:rPr>
        <w:t>Australian Antimicrobial Resistance Standing Committee</w:t>
      </w:r>
      <w:r w:rsidR="00CB1BD0">
        <w:rPr>
          <w:rFonts w:ascii="Arial Narrow" w:hAnsi="Arial Narrow" w:cs="Times New Roman"/>
          <w:sz w:val="23"/>
          <w:szCs w:val="23"/>
          <w:lang w:val="en-GB"/>
        </w:rPr>
        <w:t xml:space="preserve"> (AMRSC)</w:t>
      </w:r>
      <w:r w:rsidR="00CB1BD0">
        <w:rPr>
          <w:rFonts w:ascii="Arial Narrow" w:hAnsi="Arial Narrow" w:cs="Times New Roman"/>
          <w:sz w:val="23"/>
          <w:szCs w:val="23"/>
          <w:lang w:val="en-GB"/>
        </w:rPr>
        <w:tab/>
      </w:r>
      <w:r>
        <w:rPr>
          <w:rFonts w:ascii="Arial Narrow" w:hAnsi="Arial Narrow" w:cs="Times New Roman"/>
          <w:sz w:val="23"/>
          <w:szCs w:val="23"/>
          <w:lang w:val="en-GB"/>
        </w:rPr>
        <w:tab/>
      </w:r>
      <w:r w:rsidRPr="006D3FB1">
        <w:rPr>
          <w:rFonts w:ascii="Arial Narrow" w:hAnsi="Arial Narrow"/>
          <w:sz w:val="23"/>
          <w:szCs w:val="23"/>
          <w:lang w:val="en-GB"/>
        </w:rPr>
        <w:t xml:space="preserve">Version 1.0, </w:t>
      </w:r>
      <w:r w:rsidRPr="006D3FB1">
        <w:rPr>
          <w:rFonts w:ascii="Arial Narrow" w:hAnsi="Arial Narrow" w:cs="Arial"/>
          <w:bCs/>
          <w:sz w:val="23"/>
          <w:szCs w:val="23"/>
          <w:lang w:val="en-GB"/>
        </w:rPr>
        <w:t>July 2014</w:t>
      </w:r>
    </w:p>
    <w:p w14:paraId="386C148B" w14:textId="77777777" w:rsidR="00122735" w:rsidRDefault="00122735" w:rsidP="00C53917">
      <w:pPr>
        <w:pStyle w:val="2intro"/>
        <w:spacing w:before="120" w:after="240"/>
        <w:rPr>
          <w:rFonts w:ascii="Arial Narrow" w:hAnsi="Arial Narrow" w:cs="Times New Roman"/>
          <w:color w:val="auto"/>
          <w:sz w:val="23"/>
          <w:szCs w:val="23"/>
          <w:lang w:val="en-GB"/>
        </w:rPr>
      </w:pPr>
    </w:p>
    <w:p w14:paraId="0CB3DFF9" w14:textId="6E6E521F" w:rsidR="00122735" w:rsidRDefault="00122735" w:rsidP="00122735">
      <w:pPr>
        <w:pStyle w:val="CM2"/>
        <w:spacing w:before="10" w:after="60"/>
        <w:rPr>
          <w:rFonts w:ascii="Arial Narrow" w:hAnsi="Arial Narrow"/>
          <w:sz w:val="23"/>
          <w:szCs w:val="23"/>
        </w:rPr>
      </w:pPr>
      <w:r>
        <w:rPr>
          <w:rFonts w:ascii="Arial Narrow" w:hAnsi="Arial Narrow" w:cs="Arial"/>
          <w:bCs/>
          <w:color w:val="000000"/>
          <w:sz w:val="23"/>
          <w:szCs w:val="23"/>
          <w:lang w:val="en-GB"/>
        </w:rPr>
        <w:t>R</w:t>
      </w:r>
      <w:r w:rsidRPr="006D3FB1">
        <w:rPr>
          <w:rFonts w:ascii="Arial Narrow" w:hAnsi="Arial Narrow" w:cs="Arial"/>
          <w:bCs/>
          <w:color w:val="000000"/>
          <w:sz w:val="23"/>
          <w:szCs w:val="23"/>
          <w:lang w:val="en-GB"/>
        </w:rPr>
        <w:t xml:space="preserve">evisions by the </w:t>
      </w:r>
      <w:r w:rsidRPr="006D3FB1">
        <w:rPr>
          <w:rFonts w:ascii="Arial Narrow" w:hAnsi="Arial Narrow"/>
          <w:sz w:val="23"/>
          <w:szCs w:val="23"/>
        </w:rPr>
        <w:t xml:space="preserve">Australian Strategic and Technical Advisory </w:t>
      </w:r>
      <w:r>
        <w:rPr>
          <w:rFonts w:ascii="Arial Narrow" w:hAnsi="Arial Narrow"/>
          <w:sz w:val="23"/>
          <w:szCs w:val="23"/>
        </w:rPr>
        <w:tab/>
      </w:r>
      <w:r>
        <w:rPr>
          <w:rFonts w:ascii="Arial Narrow" w:hAnsi="Arial Narrow"/>
          <w:sz w:val="23"/>
          <w:szCs w:val="23"/>
        </w:rPr>
        <w:tab/>
      </w:r>
      <w:r w:rsidRPr="006D3FB1">
        <w:rPr>
          <w:rFonts w:ascii="Arial Narrow" w:hAnsi="Arial Narrow" w:cs="Arial"/>
          <w:bCs/>
          <w:color w:val="000000"/>
          <w:sz w:val="23"/>
          <w:szCs w:val="23"/>
          <w:lang w:val="en-GB"/>
        </w:rPr>
        <w:t>Version 1.1, February 2015</w:t>
      </w:r>
    </w:p>
    <w:p w14:paraId="3369BF91" w14:textId="6A12B6BB" w:rsidR="00996F0A" w:rsidRDefault="00122735" w:rsidP="00122735">
      <w:pPr>
        <w:pStyle w:val="CM2"/>
        <w:spacing w:before="10" w:after="60"/>
        <w:rPr>
          <w:rFonts w:ascii="Arial Narrow" w:hAnsi="Arial Narrow" w:cs="Arial"/>
          <w:b/>
          <w:bCs/>
          <w:color w:val="000000"/>
          <w:sz w:val="25"/>
          <w:szCs w:val="25"/>
          <w:lang w:val="en-GB"/>
        </w:rPr>
      </w:pPr>
      <w:r w:rsidRPr="006D3FB1">
        <w:rPr>
          <w:rFonts w:ascii="Arial Narrow" w:hAnsi="Arial Narrow"/>
          <w:sz w:val="23"/>
          <w:szCs w:val="23"/>
        </w:rPr>
        <w:t xml:space="preserve">Group on AMR (ASTAG)  </w:t>
      </w:r>
      <w:r>
        <w:rPr>
          <w:rFonts w:ascii="Arial Narrow" w:hAnsi="Arial Narrow"/>
          <w:sz w:val="23"/>
          <w:szCs w:val="23"/>
        </w:rPr>
        <w:tab/>
      </w:r>
      <w:r w:rsidR="00996F0A">
        <w:rPr>
          <w:rFonts w:ascii="Arial Narrow" w:hAnsi="Arial Narrow" w:cs="Arial"/>
          <w:b/>
          <w:bCs/>
          <w:color w:val="000000"/>
          <w:sz w:val="25"/>
          <w:szCs w:val="25"/>
          <w:lang w:val="en-GB"/>
        </w:rPr>
        <w:br w:type="page"/>
      </w:r>
    </w:p>
    <w:p w14:paraId="4F1E2102" w14:textId="713D9AED" w:rsidR="00381D80" w:rsidRPr="00642DBE" w:rsidRDefault="00381D80" w:rsidP="0071434F">
      <w:pPr>
        <w:pStyle w:val="Heading1"/>
        <w:spacing w:before="240"/>
        <w:rPr>
          <w:rFonts w:ascii="Arial Narrow" w:hAnsi="Arial Narrow"/>
          <w:color w:val="auto"/>
          <w:lang w:val="en-GB"/>
        </w:rPr>
      </w:pPr>
      <w:bookmarkStart w:id="0" w:name="_Toc441841815"/>
      <w:r w:rsidRPr="00642DBE">
        <w:rPr>
          <w:rFonts w:ascii="Arial Narrow" w:hAnsi="Arial Narrow"/>
          <w:color w:val="auto"/>
          <w:lang w:val="en-GB"/>
        </w:rPr>
        <w:lastRenderedPageBreak/>
        <w:t>Purpose</w:t>
      </w:r>
      <w:bookmarkEnd w:id="0"/>
    </w:p>
    <w:p w14:paraId="726BF5B3" w14:textId="77777777" w:rsidR="0066615B" w:rsidRPr="0066615B" w:rsidRDefault="0066615B" w:rsidP="0066615B">
      <w:pPr>
        <w:pStyle w:val="2intro"/>
        <w:spacing w:before="120" w:after="240"/>
        <w:rPr>
          <w:rFonts w:ascii="Arial Narrow" w:hAnsi="Arial Narrow"/>
          <w:color w:val="auto"/>
          <w:sz w:val="23"/>
          <w:szCs w:val="23"/>
          <w:lang w:val="en-GB"/>
        </w:rPr>
      </w:pPr>
      <w:r w:rsidRPr="0066615B">
        <w:rPr>
          <w:rFonts w:ascii="Arial Narrow" w:hAnsi="Arial Narrow" w:cs="Times New Roman"/>
          <w:color w:val="auto"/>
          <w:sz w:val="23"/>
          <w:szCs w:val="23"/>
          <w:lang w:val="en-GB"/>
        </w:rPr>
        <w:t>The purpose of the Antibacterial Importance Ratings tables is to provide guidance to clinicians and the pharmaceutical industry about the importance of antibacterial agents available for human use in Australia</w:t>
      </w:r>
      <w:r w:rsidR="0015625F" w:rsidRPr="0066615B">
        <w:rPr>
          <w:rFonts w:ascii="Arial Narrow" w:hAnsi="Arial Narrow"/>
          <w:color w:val="auto"/>
          <w:sz w:val="23"/>
          <w:szCs w:val="23"/>
          <w:lang w:val="en-GB"/>
        </w:rPr>
        <w:t xml:space="preserve"> (</w:t>
      </w:r>
      <w:r w:rsidRPr="0066615B">
        <w:rPr>
          <w:rFonts w:ascii="Arial Narrow" w:hAnsi="Arial Narrow"/>
          <w:color w:val="auto"/>
          <w:sz w:val="23"/>
          <w:szCs w:val="23"/>
          <w:lang w:val="en-GB"/>
        </w:rPr>
        <w:t xml:space="preserve">refer </w:t>
      </w:r>
      <w:r w:rsidR="0015625F" w:rsidRPr="0066615B">
        <w:rPr>
          <w:rFonts w:ascii="Arial Narrow" w:hAnsi="Arial Narrow"/>
          <w:color w:val="auto"/>
          <w:sz w:val="23"/>
          <w:szCs w:val="23"/>
          <w:lang w:val="en-GB"/>
        </w:rPr>
        <w:t xml:space="preserve">table 1), as well as those </w:t>
      </w:r>
      <w:r w:rsidR="002F0E76" w:rsidRPr="0066615B">
        <w:rPr>
          <w:rFonts w:ascii="Arial Narrow" w:hAnsi="Arial Narrow"/>
          <w:color w:val="auto"/>
          <w:sz w:val="23"/>
          <w:szCs w:val="23"/>
          <w:lang w:val="en-GB"/>
        </w:rPr>
        <w:t xml:space="preserve">agents </w:t>
      </w:r>
      <w:r w:rsidR="0015625F" w:rsidRPr="0066615B">
        <w:rPr>
          <w:rFonts w:ascii="Arial Narrow" w:hAnsi="Arial Narrow"/>
          <w:color w:val="auto"/>
          <w:sz w:val="23"/>
          <w:szCs w:val="23"/>
          <w:lang w:val="en-GB"/>
        </w:rPr>
        <w:t xml:space="preserve">not used in human health but </w:t>
      </w:r>
      <w:r w:rsidR="002F0E76" w:rsidRPr="0066615B">
        <w:rPr>
          <w:rFonts w:ascii="Arial Narrow" w:hAnsi="Arial Narrow"/>
          <w:color w:val="auto"/>
          <w:sz w:val="23"/>
          <w:szCs w:val="23"/>
          <w:lang w:val="en-GB"/>
        </w:rPr>
        <w:t xml:space="preserve">that </w:t>
      </w:r>
      <w:r w:rsidR="0015625F" w:rsidRPr="0066615B">
        <w:rPr>
          <w:rFonts w:ascii="Arial Narrow" w:hAnsi="Arial Narrow"/>
          <w:color w:val="auto"/>
          <w:sz w:val="23"/>
          <w:szCs w:val="23"/>
          <w:lang w:val="en-GB"/>
        </w:rPr>
        <w:t xml:space="preserve">have </w:t>
      </w:r>
      <w:r w:rsidR="002F0E76" w:rsidRPr="0066615B">
        <w:rPr>
          <w:rFonts w:ascii="Arial Narrow" w:hAnsi="Arial Narrow"/>
          <w:color w:val="auto"/>
          <w:sz w:val="23"/>
          <w:szCs w:val="23"/>
          <w:lang w:val="en-GB"/>
        </w:rPr>
        <w:t xml:space="preserve">the </w:t>
      </w:r>
      <w:r w:rsidR="0015625F" w:rsidRPr="0066615B">
        <w:rPr>
          <w:rFonts w:ascii="Arial Narrow" w:hAnsi="Arial Narrow"/>
          <w:color w:val="auto"/>
          <w:sz w:val="23"/>
          <w:szCs w:val="23"/>
          <w:lang w:val="en-GB"/>
        </w:rPr>
        <w:t xml:space="preserve">potential to select for cross resistance to antibacterials </w:t>
      </w:r>
      <w:r w:rsidRPr="0066615B">
        <w:rPr>
          <w:rFonts w:ascii="Arial Narrow" w:hAnsi="Arial Narrow"/>
          <w:color w:val="auto"/>
          <w:sz w:val="23"/>
          <w:szCs w:val="23"/>
          <w:lang w:val="en-GB"/>
        </w:rPr>
        <w:t xml:space="preserve">listed </w:t>
      </w:r>
      <w:r w:rsidR="0015625F" w:rsidRPr="0066615B">
        <w:rPr>
          <w:rFonts w:ascii="Arial Narrow" w:hAnsi="Arial Narrow"/>
          <w:color w:val="auto"/>
          <w:sz w:val="23"/>
          <w:szCs w:val="23"/>
          <w:lang w:val="en-GB"/>
        </w:rPr>
        <w:t>in table 1 (</w:t>
      </w:r>
      <w:r w:rsidRPr="0066615B">
        <w:rPr>
          <w:rFonts w:ascii="Arial Narrow" w:hAnsi="Arial Narrow"/>
          <w:color w:val="auto"/>
          <w:sz w:val="23"/>
          <w:szCs w:val="23"/>
          <w:lang w:val="en-GB"/>
        </w:rPr>
        <w:t xml:space="preserve">refer </w:t>
      </w:r>
      <w:r w:rsidR="0015625F" w:rsidRPr="0066615B">
        <w:rPr>
          <w:rFonts w:ascii="Arial Narrow" w:hAnsi="Arial Narrow"/>
          <w:color w:val="auto"/>
          <w:sz w:val="23"/>
          <w:szCs w:val="23"/>
          <w:lang w:val="en-GB"/>
        </w:rPr>
        <w:t>table 2).</w:t>
      </w:r>
      <w:r w:rsidR="00381D80" w:rsidRPr="0066615B">
        <w:rPr>
          <w:rFonts w:ascii="Arial Narrow" w:hAnsi="Arial Narrow"/>
          <w:color w:val="auto"/>
          <w:sz w:val="23"/>
          <w:szCs w:val="23"/>
          <w:lang w:val="en-GB"/>
        </w:rPr>
        <w:t xml:space="preserve"> </w:t>
      </w:r>
      <w:r w:rsidR="00217AD9" w:rsidRPr="0066615B">
        <w:rPr>
          <w:rFonts w:ascii="Arial Narrow" w:hAnsi="Arial Narrow"/>
          <w:color w:val="auto"/>
          <w:sz w:val="23"/>
          <w:szCs w:val="23"/>
          <w:lang w:val="en-GB"/>
        </w:rPr>
        <w:t xml:space="preserve"> </w:t>
      </w:r>
    </w:p>
    <w:p w14:paraId="5D5EC830" w14:textId="32BDD3B5" w:rsidR="00381D80" w:rsidRPr="0066615B" w:rsidRDefault="00381D80" w:rsidP="0066615B">
      <w:pPr>
        <w:pStyle w:val="2intro"/>
        <w:spacing w:before="120" w:after="240"/>
        <w:rPr>
          <w:rFonts w:ascii="Arial Narrow" w:hAnsi="Arial Narrow"/>
          <w:color w:val="auto"/>
          <w:sz w:val="23"/>
          <w:szCs w:val="23"/>
          <w:lang w:val="en-GB"/>
        </w:rPr>
      </w:pPr>
      <w:r w:rsidRPr="0066615B">
        <w:rPr>
          <w:rFonts w:ascii="Arial Narrow" w:hAnsi="Arial Narrow"/>
          <w:color w:val="auto"/>
          <w:sz w:val="23"/>
          <w:szCs w:val="23"/>
          <w:lang w:val="en-GB"/>
        </w:rPr>
        <w:t>Details are also given on the current ways in which all antibacterial</w:t>
      </w:r>
      <w:r w:rsidR="00AA3E4B" w:rsidRPr="0066615B">
        <w:rPr>
          <w:rFonts w:ascii="Arial Narrow" w:hAnsi="Arial Narrow"/>
          <w:color w:val="auto"/>
          <w:sz w:val="23"/>
          <w:szCs w:val="23"/>
          <w:lang w:val="en-GB"/>
        </w:rPr>
        <w:t>s</w:t>
      </w:r>
      <w:r w:rsidRPr="0066615B">
        <w:rPr>
          <w:rFonts w:ascii="Arial Narrow" w:hAnsi="Arial Narrow"/>
          <w:color w:val="auto"/>
          <w:sz w:val="23"/>
          <w:szCs w:val="23"/>
          <w:lang w:val="en-GB"/>
        </w:rPr>
        <w:t xml:space="preserve"> are used in humans. This list is for guidance only, and does not include every use of the agent or class. All agent</w:t>
      </w:r>
      <w:bookmarkStart w:id="1" w:name="_GoBack"/>
      <w:bookmarkEnd w:id="1"/>
      <w:r w:rsidRPr="0066615B">
        <w:rPr>
          <w:rFonts w:ascii="Arial Narrow" w:hAnsi="Arial Narrow"/>
          <w:color w:val="auto"/>
          <w:sz w:val="23"/>
          <w:szCs w:val="23"/>
          <w:lang w:val="en-GB"/>
        </w:rPr>
        <w:t>s with significant antibacterial activity are included in the table, even if their primary use is for other than treatment of bacterial infections (e.g. pyrimethamine, a dihydrofolate reductase inhibitor whose main role is treatment of malaria and toxoplasmosis, but with the same antibacterial activity as trimethoprim, and therefore has the potential to select for resistance to this class).</w:t>
      </w:r>
    </w:p>
    <w:p w14:paraId="1832BCB8" w14:textId="5AB15818" w:rsidR="00381D80" w:rsidRPr="00A853A1" w:rsidRDefault="00381D80" w:rsidP="0071434F">
      <w:pPr>
        <w:pStyle w:val="CM8"/>
        <w:spacing w:after="80"/>
        <w:rPr>
          <w:rFonts w:ascii="Arial Narrow" w:hAnsi="Arial Narrow"/>
          <w:color w:val="000000"/>
          <w:sz w:val="23"/>
          <w:szCs w:val="23"/>
          <w:lang w:val="en-GB"/>
        </w:rPr>
      </w:pPr>
      <w:r w:rsidRPr="00A853A1">
        <w:rPr>
          <w:rFonts w:ascii="Arial Narrow" w:hAnsi="Arial Narrow"/>
          <w:color w:val="000000"/>
          <w:sz w:val="23"/>
          <w:szCs w:val="23"/>
          <w:lang w:val="en-GB"/>
        </w:rPr>
        <w:t>A</w:t>
      </w:r>
      <w:r w:rsidR="00C75726" w:rsidRPr="00A853A1">
        <w:rPr>
          <w:rFonts w:ascii="Arial Narrow" w:hAnsi="Arial Narrow"/>
          <w:color w:val="000000"/>
          <w:sz w:val="23"/>
          <w:szCs w:val="23"/>
          <w:lang w:val="en-GB"/>
        </w:rPr>
        <w:t>STAG</w:t>
      </w:r>
      <w:r w:rsidRPr="00A853A1">
        <w:rPr>
          <w:rFonts w:ascii="Arial Narrow" w:hAnsi="Arial Narrow"/>
          <w:color w:val="000000"/>
          <w:sz w:val="23"/>
          <w:szCs w:val="23"/>
          <w:lang w:val="en-GB"/>
        </w:rPr>
        <w:t xml:space="preserve"> uses this information as a guide in providing advice to regulatory agencies and government committees including the Australian Pesticides and Veterinary Medicines Authority</w:t>
      </w:r>
      <w:r w:rsidR="002F0E76">
        <w:rPr>
          <w:rFonts w:ascii="Arial Narrow" w:hAnsi="Arial Narrow"/>
          <w:color w:val="000000"/>
          <w:sz w:val="23"/>
          <w:szCs w:val="23"/>
          <w:lang w:val="en-GB"/>
        </w:rPr>
        <w:t xml:space="preserve"> (APVMA</w:t>
      </w:r>
      <w:r w:rsidRPr="00A853A1">
        <w:rPr>
          <w:rFonts w:ascii="Arial Narrow" w:hAnsi="Arial Narrow"/>
          <w:color w:val="000000"/>
          <w:sz w:val="23"/>
          <w:szCs w:val="23"/>
          <w:lang w:val="en-GB"/>
        </w:rPr>
        <w:t>), Therapeutic Goods Administration</w:t>
      </w:r>
      <w:r w:rsidR="002F0E76">
        <w:rPr>
          <w:rFonts w:ascii="Arial Narrow" w:hAnsi="Arial Narrow"/>
          <w:color w:val="000000"/>
          <w:sz w:val="23"/>
          <w:szCs w:val="23"/>
          <w:lang w:val="en-GB"/>
        </w:rPr>
        <w:t xml:space="preserve"> (TGA</w:t>
      </w:r>
      <w:r w:rsidRPr="00A853A1">
        <w:rPr>
          <w:rFonts w:ascii="Arial Narrow" w:hAnsi="Arial Narrow"/>
          <w:color w:val="000000"/>
          <w:sz w:val="23"/>
          <w:szCs w:val="23"/>
          <w:lang w:val="en-GB"/>
        </w:rPr>
        <w:t xml:space="preserve">), </w:t>
      </w:r>
      <w:r w:rsidR="00217AD9" w:rsidRPr="00A853A1">
        <w:rPr>
          <w:rFonts w:ascii="Arial Narrow" w:hAnsi="Arial Narrow"/>
          <w:sz w:val="23"/>
          <w:szCs w:val="23"/>
        </w:rPr>
        <w:t>Advisory Committee for Medicines Scheduling</w:t>
      </w:r>
      <w:r w:rsidR="002F0E76">
        <w:rPr>
          <w:rFonts w:ascii="Arial Narrow" w:hAnsi="Arial Narrow"/>
          <w:sz w:val="23"/>
          <w:szCs w:val="23"/>
        </w:rPr>
        <w:t xml:space="preserve"> (ACMS</w:t>
      </w:r>
      <w:r w:rsidR="00217AD9" w:rsidRPr="00A853A1">
        <w:rPr>
          <w:rFonts w:ascii="Arial Narrow" w:hAnsi="Arial Narrow"/>
          <w:sz w:val="23"/>
          <w:szCs w:val="23"/>
        </w:rPr>
        <w:t>), Advisory Committee for Chemicals Scheduling</w:t>
      </w:r>
      <w:r w:rsidR="002F0E76">
        <w:rPr>
          <w:rFonts w:ascii="Arial Narrow" w:hAnsi="Arial Narrow"/>
          <w:sz w:val="23"/>
          <w:szCs w:val="23"/>
        </w:rPr>
        <w:t xml:space="preserve"> (ACCS</w:t>
      </w:r>
      <w:r w:rsidR="00217AD9" w:rsidRPr="00A853A1">
        <w:rPr>
          <w:rFonts w:ascii="Arial Narrow" w:hAnsi="Arial Narrow"/>
          <w:sz w:val="23"/>
          <w:szCs w:val="23"/>
        </w:rPr>
        <w:t xml:space="preserve">) </w:t>
      </w:r>
      <w:r w:rsidR="00217AD9" w:rsidRPr="00A853A1">
        <w:rPr>
          <w:rFonts w:ascii="Arial Narrow" w:hAnsi="Arial Narrow"/>
          <w:color w:val="000000"/>
          <w:sz w:val="23"/>
          <w:szCs w:val="23"/>
          <w:lang w:val="en-GB"/>
        </w:rPr>
        <w:t xml:space="preserve">and </w:t>
      </w:r>
      <w:r w:rsidRPr="00A853A1">
        <w:rPr>
          <w:rFonts w:ascii="Arial Narrow" w:hAnsi="Arial Narrow"/>
          <w:color w:val="000000"/>
          <w:sz w:val="23"/>
          <w:szCs w:val="23"/>
          <w:lang w:val="en-GB"/>
        </w:rPr>
        <w:t xml:space="preserve">Pharmaceutical Benefits </w:t>
      </w:r>
      <w:r w:rsidR="00AA3E4B" w:rsidRPr="00A853A1">
        <w:rPr>
          <w:rFonts w:ascii="Arial Narrow" w:hAnsi="Arial Narrow"/>
          <w:color w:val="000000"/>
          <w:sz w:val="23"/>
          <w:szCs w:val="23"/>
          <w:lang w:val="en-GB"/>
        </w:rPr>
        <w:t xml:space="preserve">Advisory </w:t>
      </w:r>
      <w:r w:rsidRPr="00A853A1">
        <w:rPr>
          <w:rFonts w:ascii="Arial Narrow" w:hAnsi="Arial Narrow"/>
          <w:color w:val="000000"/>
          <w:sz w:val="23"/>
          <w:szCs w:val="23"/>
          <w:lang w:val="en-GB"/>
        </w:rPr>
        <w:t>Committee</w:t>
      </w:r>
      <w:r w:rsidR="002F0E76">
        <w:rPr>
          <w:rFonts w:ascii="Arial Narrow" w:hAnsi="Arial Narrow"/>
          <w:color w:val="000000"/>
          <w:sz w:val="23"/>
          <w:szCs w:val="23"/>
          <w:lang w:val="en-GB"/>
        </w:rPr>
        <w:t xml:space="preserve"> (PBAC</w:t>
      </w:r>
      <w:r w:rsidRPr="00A853A1">
        <w:rPr>
          <w:rFonts w:ascii="Arial Narrow" w:hAnsi="Arial Narrow"/>
          <w:color w:val="000000"/>
          <w:sz w:val="23"/>
          <w:szCs w:val="23"/>
          <w:lang w:val="en-GB"/>
        </w:rPr>
        <w:t xml:space="preserve">), as a method of assessing the risk to human health after exposure of susceptible humans to either an </w:t>
      </w:r>
      <w:r w:rsidR="00842566" w:rsidRPr="00A853A1">
        <w:rPr>
          <w:rFonts w:ascii="Arial Narrow" w:hAnsi="Arial Narrow"/>
          <w:color w:val="000000"/>
          <w:sz w:val="23"/>
          <w:szCs w:val="23"/>
          <w:lang w:val="en-GB"/>
        </w:rPr>
        <w:t>antibacterial</w:t>
      </w:r>
      <w:r w:rsidRPr="00A853A1">
        <w:rPr>
          <w:rFonts w:ascii="Arial Narrow" w:hAnsi="Arial Narrow"/>
          <w:color w:val="000000"/>
          <w:sz w:val="23"/>
          <w:szCs w:val="23"/>
          <w:lang w:val="en-GB"/>
        </w:rPr>
        <w:t xml:space="preserve"> or </w:t>
      </w:r>
      <w:r w:rsidR="00842566" w:rsidRPr="00A853A1">
        <w:rPr>
          <w:rFonts w:ascii="Arial Narrow" w:hAnsi="Arial Narrow"/>
          <w:color w:val="000000"/>
          <w:sz w:val="23"/>
          <w:szCs w:val="23"/>
          <w:lang w:val="en-GB"/>
        </w:rPr>
        <w:t>antibacterial</w:t>
      </w:r>
      <w:r w:rsidRPr="00A853A1">
        <w:rPr>
          <w:rFonts w:ascii="Arial Narrow" w:hAnsi="Arial Narrow"/>
          <w:color w:val="000000"/>
          <w:sz w:val="23"/>
          <w:szCs w:val="23"/>
          <w:lang w:val="en-GB"/>
        </w:rPr>
        <w:t xml:space="preserve">-resistant bacteria. In risk assessment terms, this table is relevant to the “severity of impact’ which is an important element to overall risk characterisation. As an example, if an </w:t>
      </w:r>
      <w:r w:rsidR="00842566" w:rsidRPr="00A853A1">
        <w:rPr>
          <w:rFonts w:ascii="Arial Narrow" w:hAnsi="Arial Narrow"/>
          <w:color w:val="000000"/>
          <w:sz w:val="23"/>
          <w:szCs w:val="23"/>
          <w:lang w:val="en-GB"/>
        </w:rPr>
        <w:t>antibacterial</w:t>
      </w:r>
      <w:r w:rsidRPr="00A853A1">
        <w:rPr>
          <w:rFonts w:ascii="Arial Narrow" w:hAnsi="Arial Narrow"/>
          <w:color w:val="000000"/>
          <w:sz w:val="23"/>
          <w:szCs w:val="23"/>
          <w:lang w:val="en-GB"/>
        </w:rPr>
        <w:t xml:space="preserve"> is rated as ‘High’, </w:t>
      </w:r>
      <w:r w:rsidR="00C75726" w:rsidRPr="00A853A1">
        <w:rPr>
          <w:rFonts w:ascii="Arial Narrow" w:hAnsi="Arial Narrow"/>
          <w:color w:val="000000"/>
          <w:sz w:val="23"/>
          <w:szCs w:val="23"/>
          <w:lang w:val="en-GB"/>
        </w:rPr>
        <w:t>ASTAG</w:t>
      </w:r>
      <w:r w:rsidRPr="00A853A1">
        <w:rPr>
          <w:rFonts w:ascii="Arial Narrow" w:hAnsi="Arial Narrow"/>
          <w:color w:val="000000"/>
          <w:sz w:val="23"/>
          <w:szCs w:val="23"/>
          <w:lang w:val="en-GB"/>
        </w:rPr>
        <w:t xml:space="preserve"> would consider that the severity of impact caused by bacteria resistant to that antibacterial is high, as there are few or no alternatives to many infections. Rating in this table does not affect other parts of risk assessment including hazard, exposure, impact or probability of disease as a result of exposure.</w:t>
      </w:r>
    </w:p>
    <w:p w14:paraId="0EC70743" w14:textId="77777777" w:rsidR="0066615B" w:rsidRPr="00642DBE" w:rsidRDefault="0066615B" w:rsidP="0071434F">
      <w:pPr>
        <w:pStyle w:val="Heading1"/>
        <w:spacing w:before="240"/>
        <w:rPr>
          <w:rFonts w:ascii="Arial Narrow" w:hAnsi="Arial Narrow"/>
          <w:color w:val="auto"/>
          <w:lang w:val="en-GB"/>
        </w:rPr>
      </w:pPr>
      <w:bookmarkStart w:id="2" w:name="_Toc441841816"/>
      <w:r w:rsidRPr="00642DBE">
        <w:rPr>
          <w:rFonts w:ascii="Arial Narrow" w:hAnsi="Arial Narrow"/>
          <w:color w:val="auto"/>
          <w:lang w:val="en-GB"/>
        </w:rPr>
        <w:t>Background</w:t>
      </w:r>
      <w:bookmarkEnd w:id="2"/>
    </w:p>
    <w:p w14:paraId="3009C85F" w14:textId="77777777" w:rsidR="0066615B" w:rsidRPr="00A853A1" w:rsidRDefault="0066615B" w:rsidP="0066615B">
      <w:pPr>
        <w:pStyle w:val="CM8"/>
        <w:spacing w:beforeLines="50" w:before="120" w:afterLines="50" w:after="120"/>
        <w:rPr>
          <w:rFonts w:ascii="Arial Narrow" w:hAnsi="Arial Narrow"/>
          <w:color w:val="000000"/>
          <w:sz w:val="23"/>
          <w:szCs w:val="23"/>
          <w:lang w:val="en-GB"/>
        </w:rPr>
      </w:pPr>
      <w:r w:rsidRPr="00A853A1">
        <w:rPr>
          <w:rFonts w:ascii="Arial Narrow" w:hAnsi="Arial Narrow"/>
          <w:color w:val="000000"/>
          <w:sz w:val="23"/>
          <w:szCs w:val="23"/>
          <w:lang w:val="en-GB"/>
        </w:rPr>
        <w:t xml:space="preserve">The previous version of this document was released by the </w:t>
      </w:r>
      <w:r w:rsidRPr="00A853A1">
        <w:rPr>
          <w:rFonts w:ascii="Arial Narrow" w:hAnsi="Arial Narrow"/>
          <w:sz w:val="23"/>
          <w:szCs w:val="23"/>
          <w:lang w:val="en-GB"/>
        </w:rPr>
        <w:t>Antimicrobial Resistance Standing Committee (AMRSC), a former standing committee of the Australian Health Protection Principal Committee</w:t>
      </w:r>
      <w:r>
        <w:rPr>
          <w:rFonts w:ascii="Arial Narrow" w:hAnsi="Arial Narrow"/>
          <w:sz w:val="23"/>
          <w:szCs w:val="23"/>
          <w:lang w:val="en-GB"/>
        </w:rPr>
        <w:t xml:space="preserve"> (AHPPC)</w:t>
      </w:r>
      <w:r w:rsidRPr="00A853A1">
        <w:rPr>
          <w:rFonts w:ascii="Arial Narrow" w:hAnsi="Arial Narrow"/>
          <w:sz w:val="23"/>
          <w:szCs w:val="23"/>
          <w:lang w:val="en-GB"/>
        </w:rPr>
        <w:t>, building on e</w:t>
      </w:r>
      <w:r w:rsidRPr="00A853A1">
        <w:rPr>
          <w:rFonts w:ascii="Arial Narrow" w:hAnsi="Arial Narrow"/>
          <w:color w:val="000000"/>
          <w:sz w:val="23"/>
          <w:szCs w:val="23"/>
          <w:lang w:val="en-GB"/>
        </w:rPr>
        <w:t>arlier versions developed by the Expert Advisory Group on Antimicrobial Resistance (EAGAR) of the National Health and Medical Research Council (NHMRC). The document is intended to provide advice on risk assessments for new antibacterial agents and extensions of indications of currently registered antibacterials. The term ‘antibacterial’ is preferred in this document as the more common term ‘antimicrobial’ technically includes agents without antibacterial properties (e.g. antifungals), and such agents are not addressed here. The importance of the antibacterial or class of antibacterials in human medicine is taken into account in these risk assessments.</w:t>
      </w:r>
    </w:p>
    <w:p w14:paraId="0258B763" w14:textId="2074652F" w:rsidR="0066615B" w:rsidRPr="00A853A1" w:rsidRDefault="0066615B" w:rsidP="0066615B">
      <w:pPr>
        <w:pStyle w:val="Default"/>
        <w:spacing w:afterLines="50" w:after="120"/>
        <w:rPr>
          <w:rFonts w:ascii="Arial Narrow" w:hAnsi="Arial Narrow"/>
          <w:sz w:val="23"/>
          <w:szCs w:val="23"/>
          <w:lang w:val="en-GB"/>
        </w:rPr>
      </w:pPr>
      <w:r w:rsidRPr="00A853A1">
        <w:rPr>
          <w:rFonts w:ascii="Arial Narrow" w:hAnsi="Arial Narrow"/>
          <w:sz w:val="23"/>
          <w:szCs w:val="23"/>
          <w:lang w:val="en-GB"/>
        </w:rPr>
        <w:t xml:space="preserve">The ASTAG was formed in 2014, to provide advice to the Australian Antimicrobial Resistance Prevention and Containment Steering Group. It has assumed many of the roles of AMRSC, including the regular updating of the </w:t>
      </w:r>
      <w:r w:rsidR="007C412D">
        <w:rPr>
          <w:rFonts w:ascii="Arial Narrow" w:hAnsi="Arial Narrow"/>
          <w:sz w:val="23"/>
          <w:szCs w:val="23"/>
          <w:lang w:val="en-GB"/>
        </w:rPr>
        <w:t xml:space="preserve">Antibacterial </w:t>
      </w:r>
      <w:r w:rsidRPr="00A853A1">
        <w:rPr>
          <w:rFonts w:ascii="Arial Narrow" w:hAnsi="Arial Narrow"/>
          <w:sz w:val="23"/>
          <w:szCs w:val="23"/>
          <w:lang w:val="en-GB"/>
        </w:rPr>
        <w:t>Importance Ratings. ASTAG is aware of documents with similar purposes including the WHO document ‘Critically Important Antimicrobials for Human Medicine, 3</w:t>
      </w:r>
      <w:r w:rsidRPr="00A853A1">
        <w:rPr>
          <w:rFonts w:ascii="Arial Narrow" w:hAnsi="Arial Narrow"/>
          <w:sz w:val="23"/>
          <w:szCs w:val="23"/>
          <w:vertAlign w:val="superscript"/>
          <w:lang w:val="en-GB"/>
        </w:rPr>
        <w:t>rd</w:t>
      </w:r>
      <w:r w:rsidRPr="00A853A1">
        <w:rPr>
          <w:rFonts w:ascii="Arial Narrow" w:hAnsi="Arial Narrow"/>
          <w:sz w:val="23"/>
          <w:szCs w:val="23"/>
          <w:lang w:val="en-GB"/>
        </w:rPr>
        <w:t xml:space="preserve"> rev, 2011’ and the OIE ‘List of Antimicrobials of Veterinary Importance’, January 2014. ASTAG takes these documents into consideration when allocating its ratings, but has in some circumstances given a different rating because of the Australian context.</w:t>
      </w:r>
    </w:p>
    <w:p w14:paraId="45E27100" w14:textId="77777777" w:rsidR="0066615B" w:rsidRPr="00642DBE" w:rsidRDefault="0066615B" w:rsidP="0071434F">
      <w:pPr>
        <w:pStyle w:val="Heading1"/>
        <w:spacing w:before="240"/>
        <w:rPr>
          <w:rFonts w:ascii="Arial Narrow" w:hAnsi="Arial Narrow"/>
          <w:color w:val="auto"/>
          <w:lang w:val="en-GB"/>
        </w:rPr>
      </w:pPr>
      <w:bookmarkStart w:id="3" w:name="_Toc441841817"/>
      <w:r w:rsidRPr="00642DBE">
        <w:rPr>
          <w:rFonts w:ascii="Arial Narrow" w:hAnsi="Arial Narrow"/>
          <w:color w:val="auto"/>
          <w:lang w:val="en-GB"/>
        </w:rPr>
        <w:t>A note to readers</w:t>
      </w:r>
      <w:bookmarkEnd w:id="3"/>
    </w:p>
    <w:p w14:paraId="12346CC7" w14:textId="0FCDE1FE" w:rsidR="00440173" w:rsidRDefault="0066615B" w:rsidP="00440173">
      <w:pPr>
        <w:pStyle w:val="2body"/>
        <w:spacing w:before="120" w:afterLines="50" w:after="120"/>
        <w:rPr>
          <w:rFonts w:ascii="Arial Narrow" w:hAnsi="Arial Narrow" w:cs="Times New Roman"/>
          <w:sz w:val="23"/>
          <w:szCs w:val="23"/>
          <w:lang w:val="en-GB"/>
        </w:rPr>
      </w:pPr>
      <w:r w:rsidRPr="00687565">
        <w:rPr>
          <w:rFonts w:ascii="Arial Narrow" w:hAnsi="Arial Narrow" w:cs="Times New Roman"/>
          <w:sz w:val="23"/>
          <w:szCs w:val="23"/>
          <w:lang w:val="en-GB"/>
        </w:rPr>
        <w:t>The Antibacterial Importance Ratings capture the knowledge of experienced professionals and is based upon the best available evidence at the time of completion.</w:t>
      </w:r>
      <w:r w:rsidR="007C412D">
        <w:rPr>
          <w:rFonts w:ascii="Arial Narrow" w:hAnsi="Arial Narrow" w:cs="Times New Roman"/>
          <w:sz w:val="23"/>
          <w:szCs w:val="23"/>
          <w:lang w:val="en-GB"/>
        </w:rPr>
        <w:t xml:space="preserve"> </w:t>
      </w:r>
      <w:r w:rsidRPr="00687565">
        <w:rPr>
          <w:rFonts w:ascii="Arial Narrow" w:hAnsi="Arial Narrow" w:cs="Times New Roman"/>
          <w:sz w:val="23"/>
          <w:szCs w:val="23"/>
          <w:lang w:val="en-GB"/>
        </w:rPr>
        <w:t>Readers should not rely solely on the information contained within this document. Antibacterial Importance Ratings is not intended to be a substitute for advice from other relevant sources including, but not limited to, the advice from a health professional. Clinical judgment and discretion may be required in the interpretation and application of this information.</w:t>
      </w:r>
    </w:p>
    <w:p w14:paraId="639C4C28" w14:textId="2F8DDA7F" w:rsidR="00440173" w:rsidRPr="00687565" w:rsidRDefault="007C412D" w:rsidP="0066615B">
      <w:pPr>
        <w:pStyle w:val="2body"/>
        <w:spacing w:before="120" w:after="240"/>
        <w:rPr>
          <w:rFonts w:ascii="Arial Narrow" w:hAnsi="Arial Narrow" w:cs="Times New Roman"/>
          <w:sz w:val="23"/>
          <w:szCs w:val="23"/>
          <w:lang w:val="en-GB"/>
        </w:rPr>
      </w:pPr>
      <w:r>
        <w:rPr>
          <w:rFonts w:ascii="Arial Narrow" w:hAnsi="Arial Narrow"/>
          <w:color w:val="000000"/>
          <w:sz w:val="23"/>
          <w:szCs w:val="23"/>
          <w:lang w:val="en-GB"/>
        </w:rPr>
        <w:t>The</w:t>
      </w:r>
      <w:r w:rsidR="00440173" w:rsidRPr="00A853A1">
        <w:rPr>
          <w:rFonts w:ascii="Arial Narrow" w:hAnsi="Arial Narrow"/>
          <w:color w:val="000000"/>
          <w:sz w:val="23"/>
          <w:szCs w:val="23"/>
          <w:lang w:val="en-GB"/>
        </w:rPr>
        <w:t xml:space="preserve"> </w:t>
      </w:r>
      <w:r w:rsidRPr="00687565">
        <w:rPr>
          <w:rFonts w:ascii="Arial Narrow" w:hAnsi="Arial Narrow" w:cs="Times New Roman"/>
          <w:sz w:val="23"/>
          <w:szCs w:val="23"/>
          <w:lang w:val="en-GB"/>
        </w:rPr>
        <w:t>Antibacterial Importance Ratings</w:t>
      </w:r>
      <w:r w:rsidR="00440173" w:rsidRPr="00A853A1">
        <w:rPr>
          <w:rFonts w:ascii="Arial Narrow" w:hAnsi="Arial Narrow"/>
          <w:color w:val="000000"/>
          <w:sz w:val="23"/>
          <w:szCs w:val="23"/>
          <w:lang w:val="en-GB"/>
        </w:rPr>
        <w:t xml:space="preserve"> will change over time as resistance levels change, new drugs are introduced, and optimum drug choices alter because of new medical evidence. Consequently the table will be updated at regular intervals.</w:t>
      </w:r>
    </w:p>
    <w:p w14:paraId="2F9FD8D8" w14:textId="77777777" w:rsidR="00381D80" w:rsidRPr="004A22B9" w:rsidRDefault="00381D80" w:rsidP="004A22B9">
      <w:pPr>
        <w:pStyle w:val="Heading1"/>
        <w:jc w:val="center"/>
        <w:rPr>
          <w:rFonts w:ascii="Arial Narrow" w:hAnsi="Arial Narrow"/>
          <w:color w:val="auto"/>
          <w:sz w:val="24"/>
          <w:lang w:val="en-GB"/>
        </w:rPr>
      </w:pPr>
      <w:r w:rsidRPr="000106F4">
        <w:rPr>
          <w:lang w:val="en-GB"/>
        </w:rPr>
        <w:br w:type="page"/>
      </w:r>
      <w:bookmarkStart w:id="4" w:name="_Toc441841818"/>
      <w:r w:rsidRPr="004A22B9">
        <w:rPr>
          <w:rFonts w:ascii="Arial Narrow" w:hAnsi="Arial Narrow"/>
          <w:color w:val="auto"/>
          <w:sz w:val="24"/>
          <w:lang w:val="en-GB"/>
        </w:rPr>
        <w:lastRenderedPageBreak/>
        <w:t>TABLE 1  Antibacterial agents used in human health in Australia</w:t>
      </w:r>
      <w:bookmarkEnd w:id="4"/>
    </w:p>
    <w:p w14:paraId="224EAD9D" w14:textId="77777777" w:rsidR="00381D80" w:rsidRPr="000106F4" w:rsidRDefault="00381D80" w:rsidP="00BC5CFE">
      <w:pPr>
        <w:pStyle w:val="Default"/>
        <w:rPr>
          <w:lang w:val="en-GB"/>
        </w:rPr>
      </w:pPr>
    </w:p>
    <w:tbl>
      <w:tblPr>
        <w:tblStyle w:val="LightList-Accent5"/>
        <w:tblW w:w="10173" w:type="dxa"/>
        <w:tblLayout w:type="fixed"/>
        <w:tblLook w:val="0020" w:firstRow="1" w:lastRow="0" w:firstColumn="0" w:lastColumn="0" w:noHBand="0" w:noVBand="0"/>
        <w:tblCaption w:val="Table 1 Antibacterial agents used in human health in Australia"/>
        <w:tblDescription w:val="This table lists the antibacterial agents used in human health in Australia in the first column.  In the second column each agent is assigned an importance rating of either low, medium or high.    A rating of low means that there are a reasonable number of alternative agents in different classes available to treat most infections even if antibacterials resistance develops. A rating of medium means that there are other alternatives available but less than for those classified as Low. A rating of high means that it is an essential antibacterial for treatment of human infections where there are few or no alternatives for many infections. Also have been called “critical”, “last-resort” or “last line” antibacterials.  &#10;The third column AMRSC Importance Rating provides information on the uses of the agent.  P refers to prophylactic use.  P0 means it is not recommended for prophylactic use.  P1 means it is rarely used for prophylactic use. P2 means it is moderately used for prophylaxix.  P4 means it is frequently used for prophylaxis.  T refers to therapeutic use.  &#10;T0 means the agent is not used for treatment.  T1 means that the agent is infrequently used for listed indications.  T2 means that the agent is moderately use for listed indications.  T3 means that the agent is used frequently for listed indications.&#10;R refers to the restriction on use of the agent through the Pharmaceutical Benefits Scheme or in hospitals.   R1 means that the agent is readily available. R2 means that some extra rules on the agent's use e.g. ‘Restricted benefit’ in the Pharmaceutical Benefits Scheme (PBS) or not listed on the PBS and therefore not subsidised.  R3 means that a higher level of restriction applies to the agent e.g. needs an ‘Authority required’ prescription on the PBS or not listed on the PBS and therefore not subsidised, as well as often restricted use in hospitals. R4 means that the use of the agent is severely restricted (e.g. not available for prescription under PBS, available in major hospitals but only with permission from microbiologist or infectious diseases consultant, or in a special clinic). R5 means that the agent is not TGA registered but can be imported under the special access scheme.&#10;&#10;The forth column provides comments and additional information on each agent.  The fifth column indicates whether the agent is registered with the Australian Pesticides and Veterinary Medicines Authority.  "/>
      </w:tblPr>
      <w:tblGrid>
        <w:gridCol w:w="2797"/>
        <w:gridCol w:w="1278"/>
        <w:gridCol w:w="994"/>
        <w:gridCol w:w="3544"/>
        <w:gridCol w:w="1560"/>
      </w:tblGrid>
      <w:tr w:rsidR="00381D80" w:rsidRPr="000106F4" w14:paraId="32E26A8D" w14:textId="77777777" w:rsidTr="00BD6C45">
        <w:trPr>
          <w:cnfStyle w:val="100000000000" w:firstRow="1" w:lastRow="0" w:firstColumn="0" w:lastColumn="0" w:oddVBand="0" w:evenVBand="0" w:oddHBand="0" w:evenHBand="0" w:firstRowFirstColumn="0" w:firstRowLastColumn="0" w:lastRowFirstColumn="0" w:lastRowLastColumn="0"/>
          <w:trHeight w:val="891"/>
          <w:tblHeader/>
        </w:trPr>
        <w:tc>
          <w:tcPr>
            <w:cnfStyle w:val="000010000000" w:firstRow="0" w:lastRow="0" w:firstColumn="0" w:lastColumn="0" w:oddVBand="1" w:evenVBand="0" w:oddHBand="0" w:evenHBand="0" w:firstRowFirstColumn="0" w:firstRowLastColumn="0" w:lastRowFirstColumn="0" w:lastRowLastColumn="0"/>
            <w:tcW w:w="2797" w:type="dxa"/>
          </w:tcPr>
          <w:p w14:paraId="3F671D07" w14:textId="77777777" w:rsidR="00381D80" w:rsidRPr="000106F4" w:rsidRDefault="00381D80">
            <w:pPr>
              <w:pStyle w:val="Default1"/>
              <w:rPr>
                <w:rFonts w:ascii="Arial Narrow" w:hAnsi="Arial Narrow" w:cs="Arial Narrow"/>
                <w:color w:val="000000"/>
                <w:sz w:val="22"/>
                <w:szCs w:val="18"/>
                <w:lang w:val="en-GB"/>
              </w:rPr>
            </w:pPr>
            <w:r w:rsidRPr="000106F4">
              <w:rPr>
                <w:rFonts w:ascii="Arial Narrow" w:hAnsi="Arial Narrow" w:cs="Garamond"/>
                <w:color w:val="000000"/>
                <w:sz w:val="22"/>
                <w:szCs w:val="18"/>
                <w:lang w:val="en-GB"/>
              </w:rPr>
              <w:br w:type="page"/>
            </w:r>
            <w:r w:rsidRPr="000106F4">
              <w:rPr>
                <w:rFonts w:ascii="Arial Narrow" w:hAnsi="Arial Narrow" w:cs="Arial Narrow"/>
                <w:color w:val="000000"/>
                <w:sz w:val="22"/>
                <w:szCs w:val="18"/>
                <w:lang w:val="en-GB"/>
              </w:rPr>
              <w:t>Antibacterial class and antibacterial</w:t>
            </w:r>
          </w:p>
        </w:tc>
        <w:tc>
          <w:tcPr>
            <w:tcW w:w="1278" w:type="dxa"/>
          </w:tcPr>
          <w:p w14:paraId="71D169D6" w14:textId="6D5B4C9E" w:rsidR="00381D80" w:rsidRPr="000106F4" w:rsidRDefault="00381D80" w:rsidP="000106F4">
            <w:pPr>
              <w:pStyle w:val="Default1"/>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2"/>
                <w:szCs w:val="18"/>
                <w:lang w:val="en-GB"/>
              </w:rPr>
            </w:pPr>
            <w:r w:rsidRPr="000106F4">
              <w:rPr>
                <w:rFonts w:ascii="Arial Narrow" w:hAnsi="Arial Narrow" w:cs="Arial Narrow"/>
                <w:color w:val="000000"/>
                <w:sz w:val="22"/>
                <w:szCs w:val="18"/>
                <w:lang w:val="en-GB"/>
              </w:rPr>
              <w:t>Importanc</w:t>
            </w:r>
            <w:r w:rsidRPr="00693D36">
              <w:rPr>
                <w:rFonts w:ascii="Arial Narrow" w:hAnsi="Arial Narrow" w:cs="Arial Narrow"/>
                <w:color w:val="000000"/>
                <w:sz w:val="22"/>
                <w:szCs w:val="18"/>
                <w:lang w:val="en-GB"/>
              </w:rPr>
              <w:t xml:space="preserve">e </w:t>
            </w:r>
            <w:r w:rsidRPr="000106F4">
              <w:rPr>
                <w:rFonts w:ascii="Arial Narrow" w:hAnsi="Arial Narrow" w:cs="Arial Narrow"/>
                <w:color w:val="000000"/>
                <w:sz w:val="22"/>
                <w:szCs w:val="18"/>
                <w:lang w:val="en-GB"/>
              </w:rPr>
              <w:t>Rating</w:t>
            </w:r>
            <w:r w:rsidRPr="000106F4">
              <w:rPr>
                <w:rStyle w:val="FootnoteReference"/>
                <w:rFonts w:ascii="Arial Narrow" w:hAnsi="Arial Narrow" w:cs="Arial Narrow"/>
                <w:position w:val="10"/>
                <w:sz w:val="22"/>
                <w:szCs w:val="18"/>
                <w:vertAlign w:val="superscript"/>
                <w:lang w:val="en-GB"/>
              </w:rPr>
              <w:t>1</w:t>
            </w:r>
          </w:p>
        </w:tc>
        <w:tc>
          <w:tcPr>
            <w:cnfStyle w:val="000010000000" w:firstRow="0" w:lastRow="0" w:firstColumn="0" w:lastColumn="0" w:oddVBand="1" w:evenVBand="0" w:oddHBand="0" w:evenHBand="0" w:firstRowFirstColumn="0" w:firstRowLastColumn="0" w:lastRowFirstColumn="0" w:lastRowLastColumn="0"/>
            <w:tcW w:w="994" w:type="dxa"/>
          </w:tcPr>
          <w:p w14:paraId="09D61DD9" w14:textId="77777777" w:rsidR="00381D80" w:rsidRPr="000106F4" w:rsidRDefault="00381D80">
            <w:pPr>
              <w:pStyle w:val="Default1"/>
              <w:jc w:val="center"/>
              <w:rPr>
                <w:rFonts w:ascii="Arial Narrow" w:hAnsi="Arial Narrow" w:cs="Garamond"/>
                <w:color w:val="000000"/>
                <w:sz w:val="22"/>
                <w:szCs w:val="18"/>
                <w:lang w:val="en-GB"/>
              </w:rPr>
            </w:pPr>
            <w:r w:rsidRPr="000106F4">
              <w:rPr>
                <w:rFonts w:ascii="Arial Narrow" w:hAnsi="Arial Narrow" w:cs="Arial Narrow"/>
                <w:color w:val="000000"/>
                <w:sz w:val="22"/>
                <w:szCs w:val="18"/>
                <w:lang w:val="en-GB"/>
              </w:rPr>
              <w:t>Uses</w:t>
            </w:r>
            <w:r w:rsidRPr="000106F4">
              <w:rPr>
                <w:rFonts w:ascii="Arial Narrow" w:hAnsi="Arial Narrow" w:cs="Arial Narrow"/>
                <w:color w:val="000000"/>
                <w:sz w:val="22"/>
                <w:szCs w:val="18"/>
                <w:lang w:val="en-GB"/>
              </w:rPr>
              <w:br/>
              <w:t>P, T, R</w:t>
            </w:r>
            <w:r w:rsidRPr="000106F4">
              <w:rPr>
                <w:rFonts w:ascii="Arial Narrow" w:hAnsi="Arial Narrow" w:cs="Garamond"/>
                <w:color w:val="000000"/>
                <w:sz w:val="22"/>
                <w:szCs w:val="18"/>
                <w:lang w:val="en-GB"/>
              </w:rPr>
              <w:t xml:space="preserve"> </w:t>
            </w:r>
          </w:p>
        </w:tc>
        <w:tc>
          <w:tcPr>
            <w:tcW w:w="3544" w:type="dxa"/>
          </w:tcPr>
          <w:p w14:paraId="7643BEE8" w14:textId="4DF8BD8A" w:rsidR="00381D80" w:rsidRPr="000106F4" w:rsidRDefault="00381D80">
            <w:pPr>
              <w:pStyle w:val="Default1"/>
              <w:cnfStyle w:val="100000000000" w:firstRow="1" w:lastRow="0" w:firstColumn="0" w:lastColumn="0" w:oddVBand="0" w:evenVBand="0" w:oddHBand="0" w:evenHBand="0" w:firstRowFirstColumn="0" w:firstRowLastColumn="0" w:lastRowFirstColumn="0" w:lastRowLastColumn="0"/>
              <w:rPr>
                <w:rFonts w:ascii="Arial Narrow" w:hAnsi="Arial Narrow" w:cs="Garamond"/>
                <w:color w:val="000000"/>
                <w:sz w:val="22"/>
                <w:szCs w:val="18"/>
                <w:lang w:val="en-GB"/>
              </w:rPr>
            </w:pPr>
            <w:r w:rsidRPr="000106F4">
              <w:rPr>
                <w:rFonts w:ascii="Arial Narrow" w:hAnsi="Arial Narrow" w:cs="Arial Narrow"/>
                <w:color w:val="000000"/>
                <w:sz w:val="22"/>
                <w:szCs w:val="18"/>
                <w:lang w:val="en-GB"/>
              </w:rPr>
              <w:t>Comments</w:t>
            </w:r>
            <w:r w:rsidR="00F265B4">
              <w:rPr>
                <w:rFonts w:ascii="Arial Narrow" w:hAnsi="Arial Narrow" w:cs="Arial Narrow"/>
                <w:color w:val="000000"/>
                <w:sz w:val="22"/>
                <w:szCs w:val="18"/>
                <w:vertAlign w:val="superscript"/>
                <w:lang w:val="en-GB"/>
              </w:rPr>
              <w:t>2</w:t>
            </w:r>
          </w:p>
        </w:tc>
        <w:tc>
          <w:tcPr>
            <w:cnfStyle w:val="000010000000" w:firstRow="0" w:lastRow="0" w:firstColumn="0" w:lastColumn="0" w:oddVBand="1" w:evenVBand="0" w:oddHBand="0" w:evenHBand="0" w:firstRowFirstColumn="0" w:firstRowLastColumn="0" w:lastRowFirstColumn="0" w:lastRowLastColumn="0"/>
            <w:tcW w:w="1560" w:type="dxa"/>
          </w:tcPr>
          <w:p w14:paraId="1FFFC983" w14:textId="77777777" w:rsidR="00381D80" w:rsidRPr="000106F4" w:rsidRDefault="00381D80" w:rsidP="004B3803">
            <w:pPr>
              <w:pStyle w:val="Default1"/>
              <w:jc w:val="center"/>
              <w:rPr>
                <w:rFonts w:ascii="Arial Narrow" w:hAnsi="Arial Narrow" w:cs="Arial Narrow"/>
                <w:b w:val="0"/>
                <w:bCs w:val="0"/>
                <w:color w:val="000000"/>
                <w:sz w:val="22"/>
                <w:szCs w:val="18"/>
                <w:lang w:val="en-GB"/>
              </w:rPr>
            </w:pPr>
            <w:r w:rsidRPr="000106F4">
              <w:rPr>
                <w:rFonts w:ascii="Arial Narrow" w:hAnsi="Arial Narrow" w:cs="Arial Narrow"/>
                <w:color w:val="000000"/>
                <w:sz w:val="22"/>
                <w:szCs w:val="18"/>
                <w:lang w:val="en-GB"/>
              </w:rPr>
              <w:t>APVMA</w:t>
            </w:r>
            <w:r w:rsidRPr="000106F4">
              <w:rPr>
                <w:rFonts w:ascii="Arial Narrow" w:hAnsi="Arial Narrow" w:cs="Arial Narrow"/>
                <w:color w:val="000000"/>
                <w:sz w:val="22"/>
                <w:szCs w:val="18"/>
                <w:lang w:val="en-GB"/>
              </w:rPr>
              <w:br/>
              <w:t>registered</w:t>
            </w:r>
          </w:p>
        </w:tc>
      </w:tr>
      <w:tr w:rsidR="00381D80" w:rsidRPr="00BD6C45" w14:paraId="29C5C5E3"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331E7366"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Narrow-spectrum penicillins</w:t>
            </w:r>
          </w:p>
        </w:tc>
        <w:tc>
          <w:tcPr>
            <w:tcW w:w="1278" w:type="dxa"/>
          </w:tcPr>
          <w:p w14:paraId="323DD12B"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088E328B"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5235C2C1"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737D5228"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103A1FB8"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23456AF6" w14:textId="77777777" w:rsidR="00381D80" w:rsidRPr="00BD6C45" w:rsidRDefault="000106F4"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Benzylpenicillin (pen G),</w:t>
            </w:r>
            <w:r w:rsidR="00C75726" w:rsidRPr="00BD6C45">
              <w:rPr>
                <w:rFonts w:ascii="Arial Narrow" w:hAnsi="Arial Narrow" w:cs="Arial Narrow"/>
                <w:color w:val="000000"/>
                <w:sz w:val="21"/>
                <w:szCs w:val="21"/>
                <w:lang w:val="en-GB"/>
              </w:rPr>
              <w:t xml:space="preserve"> phenoxymethylpenicillin (pen V)</w:t>
            </w:r>
          </w:p>
        </w:tc>
        <w:tc>
          <w:tcPr>
            <w:tcW w:w="1278" w:type="dxa"/>
          </w:tcPr>
          <w:p w14:paraId="39251C82"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5FC38975"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R1</w:t>
            </w:r>
          </w:p>
        </w:tc>
        <w:tc>
          <w:tcPr>
            <w:tcW w:w="3544" w:type="dxa"/>
          </w:tcPr>
          <w:p w14:paraId="6B7D2C5C"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Primary agents in pneumococcal and streptococcal infection</w:t>
            </w:r>
          </w:p>
        </w:tc>
        <w:tc>
          <w:tcPr>
            <w:cnfStyle w:val="000010000000" w:firstRow="0" w:lastRow="0" w:firstColumn="0" w:lastColumn="0" w:oddVBand="1" w:evenVBand="0" w:oddHBand="0" w:evenHBand="0" w:firstRowFirstColumn="0" w:firstRowLastColumn="0" w:lastRowFirstColumn="0" w:lastRowLastColumn="0"/>
            <w:tcW w:w="1560" w:type="dxa"/>
          </w:tcPr>
          <w:p w14:paraId="3C1BC3FA" w14:textId="77777777" w:rsidR="00381D80" w:rsidRPr="00BD6C45" w:rsidRDefault="00952525"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 (Benzylpenicillin)</w:t>
            </w:r>
          </w:p>
        </w:tc>
      </w:tr>
      <w:tr w:rsidR="00381D80" w:rsidRPr="00BD6C45" w14:paraId="5CB07D21"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71F4FB7E"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Procaine penicillin</w:t>
            </w:r>
          </w:p>
        </w:tc>
        <w:tc>
          <w:tcPr>
            <w:tcW w:w="1278" w:type="dxa"/>
          </w:tcPr>
          <w:p w14:paraId="5E610702"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4B56C9D8"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R1</w:t>
            </w:r>
          </w:p>
        </w:tc>
        <w:tc>
          <w:tcPr>
            <w:tcW w:w="3544" w:type="dxa"/>
          </w:tcPr>
          <w:p w14:paraId="5B8A2F72"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Intramuscular – occasional substitute for benzylpenicillin</w:t>
            </w:r>
          </w:p>
        </w:tc>
        <w:tc>
          <w:tcPr>
            <w:cnfStyle w:val="000010000000" w:firstRow="0" w:lastRow="0" w:firstColumn="0" w:lastColumn="0" w:oddVBand="1" w:evenVBand="0" w:oddHBand="0" w:evenHBand="0" w:firstRowFirstColumn="0" w:firstRowLastColumn="0" w:lastRowFirstColumn="0" w:lastRowLastColumn="0"/>
            <w:tcW w:w="1560" w:type="dxa"/>
          </w:tcPr>
          <w:p w14:paraId="5F4B094B"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p>
        </w:tc>
      </w:tr>
      <w:tr w:rsidR="00381D80" w:rsidRPr="00BD6C45" w14:paraId="00BA988C"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4D151709"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Benzathine penicillin</w:t>
            </w:r>
          </w:p>
        </w:tc>
        <w:tc>
          <w:tcPr>
            <w:tcW w:w="1278" w:type="dxa"/>
          </w:tcPr>
          <w:p w14:paraId="3D21A0FE"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4E29F941"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P3, T3, R1</w:t>
            </w:r>
          </w:p>
        </w:tc>
        <w:tc>
          <w:tcPr>
            <w:tcW w:w="3544" w:type="dxa"/>
          </w:tcPr>
          <w:p w14:paraId="3B4C094E"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Intramuscular – syphilis treatment and rheumatic fever</w:t>
            </w:r>
            <w:r w:rsidR="00C75726" w:rsidRPr="00BD6C45">
              <w:rPr>
                <w:rFonts w:ascii="Arial Narrow" w:hAnsi="Arial Narrow" w:cs="Arial Narrow"/>
                <w:color w:val="000000"/>
                <w:sz w:val="21"/>
                <w:szCs w:val="21"/>
                <w:lang w:val="en-GB"/>
              </w:rPr>
              <w:t xml:space="preserve"> prophylaxis</w:t>
            </w:r>
          </w:p>
        </w:tc>
        <w:tc>
          <w:tcPr>
            <w:cnfStyle w:val="000010000000" w:firstRow="0" w:lastRow="0" w:firstColumn="0" w:lastColumn="0" w:oddVBand="1" w:evenVBand="0" w:oddHBand="0" w:evenHBand="0" w:firstRowFirstColumn="0" w:firstRowLastColumn="0" w:lastRowFirstColumn="0" w:lastRowLastColumn="0"/>
            <w:tcW w:w="1560" w:type="dxa"/>
          </w:tcPr>
          <w:p w14:paraId="6F0DD53E"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p>
        </w:tc>
      </w:tr>
      <w:tr w:rsidR="00381D80" w:rsidRPr="00BD6C45" w14:paraId="0BBF5DF3"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101BF074"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Moderate-spectrum penicillins</w:t>
            </w:r>
          </w:p>
        </w:tc>
        <w:tc>
          <w:tcPr>
            <w:tcW w:w="1278" w:type="dxa"/>
          </w:tcPr>
          <w:p w14:paraId="1AE4520F"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442CBA9A"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02FF85C8"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1FBC0959"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1816C5F1" w14:textId="77777777" w:rsidTr="00FF315B">
        <w:trPr>
          <w:trHeight w:val="251"/>
        </w:trPr>
        <w:tc>
          <w:tcPr>
            <w:cnfStyle w:val="000010000000" w:firstRow="0" w:lastRow="0" w:firstColumn="0" w:lastColumn="0" w:oddVBand="1" w:evenVBand="0" w:oddHBand="0" w:evenHBand="0" w:firstRowFirstColumn="0" w:firstRowLastColumn="0" w:lastRowFirstColumn="0" w:lastRowLastColumn="0"/>
            <w:tcW w:w="2797" w:type="dxa"/>
            <w:tcBorders>
              <w:bottom w:val="nil"/>
            </w:tcBorders>
          </w:tcPr>
          <w:p w14:paraId="4783E9C0" w14:textId="77777777" w:rsidR="00381D80" w:rsidRPr="00BD6C45" w:rsidRDefault="000106F4"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Amoxycillin, </w:t>
            </w:r>
            <w:r w:rsidR="00381D80" w:rsidRPr="00BD6C45">
              <w:rPr>
                <w:rFonts w:ascii="Arial Narrow" w:hAnsi="Arial Narrow" w:cs="Arial Narrow"/>
                <w:color w:val="000000"/>
                <w:sz w:val="21"/>
                <w:szCs w:val="21"/>
                <w:lang w:val="en-GB"/>
              </w:rPr>
              <w:t>ampicillin</w:t>
            </w:r>
          </w:p>
        </w:tc>
        <w:tc>
          <w:tcPr>
            <w:tcW w:w="1278" w:type="dxa"/>
            <w:tcBorders>
              <w:bottom w:val="nil"/>
            </w:tcBorders>
          </w:tcPr>
          <w:p w14:paraId="2AAB469D"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Borders>
              <w:bottom w:val="nil"/>
            </w:tcBorders>
          </w:tcPr>
          <w:p w14:paraId="07C0C30A"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R1</w:t>
            </w:r>
          </w:p>
        </w:tc>
        <w:tc>
          <w:tcPr>
            <w:tcW w:w="3544" w:type="dxa"/>
            <w:tcBorders>
              <w:bottom w:val="nil"/>
            </w:tcBorders>
          </w:tcPr>
          <w:p w14:paraId="09070D7C" w14:textId="0461625E"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Principal role in respiratory tract infections; widespread IV</w:t>
            </w:r>
            <w:r w:rsidR="001F6B2A" w:rsidRPr="00BD6C45">
              <w:rPr>
                <w:rFonts w:ascii="Arial Narrow" w:hAnsi="Arial Narrow" w:cs="Arial Narrow"/>
                <w:color w:val="000000"/>
                <w:sz w:val="21"/>
                <w:szCs w:val="21"/>
                <w:lang w:val="en-GB"/>
              </w:rPr>
              <w:t xml:space="preserve"> hospital use in combination for a range of moderate and serious infections. </w:t>
            </w:r>
          </w:p>
        </w:tc>
        <w:tc>
          <w:tcPr>
            <w:cnfStyle w:val="000010000000" w:firstRow="0" w:lastRow="0" w:firstColumn="0" w:lastColumn="0" w:oddVBand="1" w:evenVBand="0" w:oddHBand="0" w:evenHBand="0" w:firstRowFirstColumn="0" w:firstRowLastColumn="0" w:lastRowFirstColumn="0" w:lastRowLastColumn="0"/>
            <w:tcW w:w="1560" w:type="dxa"/>
            <w:tcBorders>
              <w:bottom w:val="nil"/>
            </w:tcBorders>
          </w:tcPr>
          <w:p w14:paraId="6E9D0006"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p>
        </w:tc>
      </w:tr>
      <w:tr w:rsidR="00381D80" w:rsidRPr="00BD6C45" w14:paraId="52634515" w14:textId="77777777" w:rsidTr="00FF315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Borders>
              <w:top w:val="nil"/>
            </w:tcBorders>
          </w:tcPr>
          <w:p w14:paraId="3A24F004" w14:textId="77777777" w:rsidR="00381D80" w:rsidRPr="00BD6C45" w:rsidRDefault="00381D80" w:rsidP="0087188A">
            <w:pPr>
              <w:pStyle w:val="Default1"/>
              <w:spacing w:line="276" w:lineRule="auto"/>
              <w:rPr>
                <w:rFonts w:ascii="Arial Narrow" w:hAnsi="Arial Narrow" w:cs="Garamond"/>
                <w:color w:val="000000"/>
                <w:sz w:val="21"/>
                <w:szCs w:val="21"/>
                <w:lang w:val="en-GB"/>
              </w:rPr>
            </w:pPr>
          </w:p>
        </w:tc>
        <w:tc>
          <w:tcPr>
            <w:tcW w:w="1278" w:type="dxa"/>
            <w:tcBorders>
              <w:top w:val="nil"/>
            </w:tcBorders>
          </w:tcPr>
          <w:p w14:paraId="361894E8"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Borders>
              <w:top w:val="nil"/>
            </w:tcBorders>
          </w:tcPr>
          <w:p w14:paraId="68155EBF"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Borders>
              <w:top w:val="nil"/>
            </w:tcBorders>
          </w:tcPr>
          <w:p w14:paraId="16E0B6C2" w14:textId="27076DF7" w:rsidR="00381D80" w:rsidRPr="00BD6C45" w:rsidRDefault="001F6B2A"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Surgical and endocarditis prophylaxis</w:t>
            </w:r>
          </w:p>
        </w:tc>
        <w:tc>
          <w:tcPr>
            <w:cnfStyle w:val="000010000000" w:firstRow="0" w:lastRow="0" w:firstColumn="0" w:lastColumn="0" w:oddVBand="1" w:evenVBand="0" w:oddHBand="0" w:evenHBand="0" w:firstRowFirstColumn="0" w:firstRowLastColumn="0" w:lastRowFirstColumn="0" w:lastRowLastColumn="0"/>
            <w:tcW w:w="1560" w:type="dxa"/>
            <w:tcBorders>
              <w:top w:val="nil"/>
            </w:tcBorders>
          </w:tcPr>
          <w:p w14:paraId="45CFDD22"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1AC3B46C"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455E0767"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Antistaphylococcal penicillins</w:t>
            </w:r>
          </w:p>
        </w:tc>
        <w:tc>
          <w:tcPr>
            <w:tcW w:w="1278" w:type="dxa"/>
          </w:tcPr>
          <w:p w14:paraId="434ECCEA"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41180653"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51B76569"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03BA3D06"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7EFAED4D" w14:textId="77777777" w:rsidTr="00FF315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Borders>
              <w:bottom w:val="nil"/>
            </w:tcBorders>
          </w:tcPr>
          <w:p w14:paraId="60ED5146" w14:textId="77777777" w:rsidR="00381D80" w:rsidRPr="00BD6C45" w:rsidRDefault="00C75726"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Flucl</w:t>
            </w:r>
            <w:r w:rsidR="00381D80" w:rsidRPr="00BD6C45">
              <w:rPr>
                <w:rFonts w:ascii="Arial Narrow" w:hAnsi="Arial Narrow" w:cs="Arial Narrow"/>
                <w:color w:val="000000"/>
                <w:sz w:val="21"/>
                <w:szCs w:val="21"/>
                <w:lang w:val="en-GB"/>
              </w:rPr>
              <w:t>oxacillin, dicloxacillin</w:t>
            </w:r>
          </w:p>
        </w:tc>
        <w:tc>
          <w:tcPr>
            <w:tcW w:w="1278" w:type="dxa"/>
            <w:tcBorders>
              <w:bottom w:val="nil"/>
            </w:tcBorders>
          </w:tcPr>
          <w:p w14:paraId="0B53D38F"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Medium</w:t>
            </w:r>
          </w:p>
        </w:tc>
        <w:tc>
          <w:tcPr>
            <w:cnfStyle w:val="000010000000" w:firstRow="0" w:lastRow="0" w:firstColumn="0" w:lastColumn="0" w:oddVBand="1" w:evenVBand="0" w:oddHBand="0" w:evenHBand="0" w:firstRowFirstColumn="0" w:firstRowLastColumn="0" w:lastRowFirstColumn="0" w:lastRowLastColumn="0"/>
            <w:tcW w:w="994" w:type="dxa"/>
            <w:tcBorders>
              <w:bottom w:val="nil"/>
            </w:tcBorders>
          </w:tcPr>
          <w:p w14:paraId="29E7C25C"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P3, T3, R1</w:t>
            </w:r>
          </w:p>
        </w:tc>
        <w:tc>
          <w:tcPr>
            <w:tcW w:w="3544" w:type="dxa"/>
            <w:tcBorders>
              <w:bottom w:val="nil"/>
            </w:tcBorders>
          </w:tcPr>
          <w:p w14:paraId="3B17F9BF" w14:textId="4D8B19BB"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Standard treatment for </w:t>
            </w:r>
            <w:r w:rsidRPr="00BD6C45">
              <w:rPr>
                <w:rFonts w:ascii="Arial Narrow" w:hAnsi="Arial Narrow" w:cs="Arial Narrow"/>
                <w:i/>
                <w:iCs/>
                <w:color w:val="000000"/>
                <w:sz w:val="21"/>
                <w:szCs w:val="21"/>
                <w:lang w:val="en-GB"/>
              </w:rPr>
              <w:t xml:space="preserve">Staphylococcus aureus </w:t>
            </w:r>
            <w:r w:rsidRPr="00BD6C45">
              <w:rPr>
                <w:rFonts w:ascii="Arial Narrow" w:hAnsi="Arial Narrow" w:cs="Arial Narrow"/>
                <w:color w:val="000000"/>
                <w:sz w:val="21"/>
                <w:szCs w:val="21"/>
                <w:lang w:val="en-GB"/>
              </w:rPr>
              <w:t>infections (not</w:t>
            </w:r>
            <w:r w:rsidR="00C75726" w:rsidRPr="00BD6C45">
              <w:rPr>
                <w:rFonts w:ascii="Arial Narrow" w:hAnsi="Arial Narrow" w:cs="Arial Narrow"/>
                <w:color w:val="000000"/>
                <w:sz w:val="21"/>
                <w:szCs w:val="21"/>
                <w:lang w:val="en-GB"/>
              </w:rPr>
              <w:t xml:space="preserve"> MRSA)</w:t>
            </w:r>
          </w:p>
        </w:tc>
        <w:tc>
          <w:tcPr>
            <w:cnfStyle w:val="000010000000" w:firstRow="0" w:lastRow="0" w:firstColumn="0" w:lastColumn="0" w:oddVBand="1" w:evenVBand="0" w:oddHBand="0" w:evenHBand="0" w:firstRowFirstColumn="0" w:firstRowLastColumn="0" w:lastRowFirstColumn="0" w:lastRowLastColumn="0"/>
            <w:tcW w:w="1560" w:type="dxa"/>
            <w:tcBorders>
              <w:bottom w:val="nil"/>
            </w:tcBorders>
          </w:tcPr>
          <w:p w14:paraId="21D4E250"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2EBD3655" w14:textId="77777777" w:rsidTr="00FF315B">
        <w:trPr>
          <w:trHeight w:val="251"/>
        </w:trPr>
        <w:tc>
          <w:tcPr>
            <w:cnfStyle w:val="000010000000" w:firstRow="0" w:lastRow="0" w:firstColumn="0" w:lastColumn="0" w:oddVBand="1" w:evenVBand="0" w:oddHBand="0" w:evenHBand="0" w:firstRowFirstColumn="0" w:firstRowLastColumn="0" w:lastRowFirstColumn="0" w:lastRowLastColumn="0"/>
            <w:tcW w:w="2797" w:type="dxa"/>
            <w:tcBorders>
              <w:top w:val="nil"/>
              <w:bottom w:val="single" w:sz="8" w:space="0" w:color="4BACC6" w:themeColor="accent5"/>
            </w:tcBorders>
          </w:tcPr>
          <w:p w14:paraId="7B6EA5CB"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p>
        </w:tc>
        <w:tc>
          <w:tcPr>
            <w:tcW w:w="1278" w:type="dxa"/>
            <w:tcBorders>
              <w:top w:val="nil"/>
              <w:bottom w:val="single" w:sz="8" w:space="0" w:color="4BACC6" w:themeColor="accent5"/>
            </w:tcBorders>
          </w:tcPr>
          <w:p w14:paraId="5EDB62A4"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Borders>
              <w:top w:val="nil"/>
              <w:bottom w:val="single" w:sz="8" w:space="0" w:color="4BACC6" w:themeColor="accent5"/>
            </w:tcBorders>
          </w:tcPr>
          <w:p w14:paraId="21641E33"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Borders>
              <w:top w:val="nil"/>
              <w:bottom w:val="single" w:sz="8" w:space="0" w:color="4BACC6" w:themeColor="accent5"/>
            </w:tcBorders>
          </w:tcPr>
          <w:p w14:paraId="18E73E3B"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Surgical prophylaxis, especially orthopaedics</w:t>
            </w:r>
          </w:p>
        </w:tc>
        <w:tc>
          <w:tcPr>
            <w:cnfStyle w:val="000010000000" w:firstRow="0" w:lastRow="0" w:firstColumn="0" w:lastColumn="0" w:oddVBand="1" w:evenVBand="0" w:oddHBand="0" w:evenHBand="0" w:firstRowFirstColumn="0" w:firstRowLastColumn="0" w:lastRowFirstColumn="0" w:lastRowLastColumn="0"/>
            <w:tcW w:w="1560" w:type="dxa"/>
            <w:tcBorders>
              <w:top w:val="nil"/>
              <w:bottom w:val="single" w:sz="8" w:space="0" w:color="4BACC6" w:themeColor="accent5"/>
            </w:tcBorders>
          </w:tcPr>
          <w:p w14:paraId="7A4B1DA5"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18829649" w14:textId="77777777" w:rsidTr="00FF315B">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2BDA2A3B"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ß-lactamase inhibitor combinations</w:t>
            </w:r>
          </w:p>
        </w:tc>
        <w:tc>
          <w:tcPr>
            <w:tcW w:w="1278" w:type="dxa"/>
          </w:tcPr>
          <w:p w14:paraId="6B92DA9E"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7BD9E0A5"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708C26E1"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4BBC7934"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71E87466" w14:textId="77777777" w:rsidTr="00FF315B">
        <w:trPr>
          <w:trHeight w:val="251"/>
        </w:trPr>
        <w:tc>
          <w:tcPr>
            <w:cnfStyle w:val="000010000000" w:firstRow="0" w:lastRow="0" w:firstColumn="0" w:lastColumn="0" w:oddVBand="1" w:evenVBand="0" w:oddHBand="0" w:evenHBand="0" w:firstRowFirstColumn="0" w:firstRowLastColumn="0" w:lastRowFirstColumn="0" w:lastRowLastColumn="0"/>
            <w:tcW w:w="2797" w:type="dxa"/>
            <w:tcBorders>
              <w:bottom w:val="nil"/>
            </w:tcBorders>
          </w:tcPr>
          <w:p w14:paraId="64CC328D"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Amoxycillin-clavulanate</w:t>
            </w:r>
          </w:p>
        </w:tc>
        <w:tc>
          <w:tcPr>
            <w:tcW w:w="1278" w:type="dxa"/>
            <w:tcBorders>
              <w:bottom w:val="nil"/>
            </w:tcBorders>
          </w:tcPr>
          <w:p w14:paraId="08BC48BB"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Medium</w:t>
            </w:r>
          </w:p>
        </w:tc>
        <w:tc>
          <w:tcPr>
            <w:cnfStyle w:val="000010000000" w:firstRow="0" w:lastRow="0" w:firstColumn="0" w:lastColumn="0" w:oddVBand="1" w:evenVBand="0" w:oddHBand="0" w:evenHBand="0" w:firstRowFirstColumn="0" w:firstRowLastColumn="0" w:lastRowFirstColumn="0" w:lastRowLastColumn="0"/>
            <w:tcW w:w="994" w:type="dxa"/>
            <w:tcBorders>
              <w:bottom w:val="nil"/>
            </w:tcBorders>
          </w:tcPr>
          <w:p w14:paraId="3A3EEAE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P1, T3, R1</w:t>
            </w:r>
          </w:p>
        </w:tc>
        <w:tc>
          <w:tcPr>
            <w:tcW w:w="3544" w:type="dxa"/>
            <w:tcBorders>
              <w:bottom w:val="nil"/>
            </w:tcBorders>
          </w:tcPr>
          <w:p w14:paraId="1AC75A65" w14:textId="16060AC3"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Second line agent for respiratory tract infections; role in certain</w:t>
            </w:r>
            <w:r w:rsidR="00C52531" w:rsidRPr="00BD6C45">
              <w:rPr>
                <w:rFonts w:ascii="Arial Narrow" w:hAnsi="Arial Narrow" w:cs="Arial Narrow"/>
                <w:color w:val="000000"/>
                <w:sz w:val="21"/>
                <w:szCs w:val="21"/>
                <w:lang w:val="en-GB"/>
              </w:rPr>
              <w:t xml:space="preserve"> types of skin/soft tissue infections and mixed staphylococcal/Gram-negative infections</w:t>
            </w:r>
          </w:p>
        </w:tc>
        <w:tc>
          <w:tcPr>
            <w:cnfStyle w:val="000010000000" w:firstRow="0" w:lastRow="0" w:firstColumn="0" w:lastColumn="0" w:oddVBand="1" w:evenVBand="0" w:oddHBand="0" w:evenHBand="0" w:firstRowFirstColumn="0" w:firstRowLastColumn="0" w:lastRowFirstColumn="0" w:lastRowLastColumn="0"/>
            <w:tcW w:w="1560" w:type="dxa"/>
            <w:tcBorders>
              <w:bottom w:val="nil"/>
            </w:tcBorders>
          </w:tcPr>
          <w:p w14:paraId="6CE3956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p>
        </w:tc>
      </w:tr>
      <w:tr w:rsidR="00381D80" w:rsidRPr="00BD6C45" w14:paraId="3500B9A4" w14:textId="77777777" w:rsidTr="00FF315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Borders>
              <w:top w:val="nil"/>
            </w:tcBorders>
          </w:tcPr>
          <w:p w14:paraId="12516C1E" w14:textId="77777777" w:rsidR="00381D80" w:rsidRPr="00BD6C45" w:rsidRDefault="00381D80" w:rsidP="0087188A">
            <w:pPr>
              <w:pStyle w:val="Default1"/>
              <w:spacing w:line="276" w:lineRule="auto"/>
              <w:rPr>
                <w:rFonts w:ascii="Arial Narrow" w:hAnsi="Arial Narrow" w:cs="Garamond"/>
                <w:color w:val="000000"/>
                <w:sz w:val="21"/>
                <w:szCs w:val="21"/>
                <w:lang w:val="en-GB"/>
              </w:rPr>
            </w:pPr>
          </w:p>
        </w:tc>
        <w:tc>
          <w:tcPr>
            <w:tcW w:w="1278" w:type="dxa"/>
            <w:tcBorders>
              <w:top w:val="nil"/>
            </w:tcBorders>
          </w:tcPr>
          <w:p w14:paraId="58AD69CD"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Borders>
              <w:top w:val="nil"/>
            </w:tcBorders>
          </w:tcPr>
          <w:p w14:paraId="0FC0D270"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Borders>
              <w:top w:val="nil"/>
            </w:tcBorders>
          </w:tcPr>
          <w:p w14:paraId="7355DAEA" w14:textId="6B498FCC" w:rsidR="00381D80" w:rsidRPr="00BD6C45" w:rsidRDefault="00C52531"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a</w:t>
            </w:r>
            <w:r w:rsidR="00381D80" w:rsidRPr="00BD6C45">
              <w:rPr>
                <w:rFonts w:ascii="Arial Narrow" w:hAnsi="Arial Narrow" w:cs="Arial Narrow"/>
                <w:color w:val="000000"/>
                <w:sz w:val="21"/>
                <w:szCs w:val="21"/>
                <w:lang w:val="en-GB"/>
              </w:rPr>
              <w:t>nd</w:t>
            </w:r>
            <w:r w:rsidRPr="00BD6C45">
              <w:rPr>
                <w:rFonts w:ascii="Arial Narrow" w:hAnsi="Arial Narrow" w:cs="Arial Narrow"/>
                <w:color w:val="000000"/>
                <w:sz w:val="21"/>
                <w:szCs w:val="21"/>
                <w:lang w:val="en-GB"/>
              </w:rPr>
              <w:t xml:space="preserve"> aerobic/anaerobic infections.</w:t>
            </w:r>
          </w:p>
        </w:tc>
        <w:tc>
          <w:tcPr>
            <w:cnfStyle w:val="000010000000" w:firstRow="0" w:lastRow="0" w:firstColumn="0" w:lastColumn="0" w:oddVBand="1" w:evenVBand="0" w:oddHBand="0" w:evenHBand="0" w:firstRowFirstColumn="0" w:firstRowLastColumn="0" w:lastRowFirstColumn="0" w:lastRowLastColumn="0"/>
            <w:tcW w:w="1560" w:type="dxa"/>
            <w:tcBorders>
              <w:top w:val="nil"/>
            </w:tcBorders>
          </w:tcPr>
          <w:p w14:paraId="3FBC471B"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5E7771C9"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087BCB2B" w14:textId="77777777" w:rsidR="00381D80" w:rsidRPr="00BD6C45" w:rsidRDefault="00C75726"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Piperacillin-tazobactam</w:t>
            </w:r>
            <w:r w:rsidR="000106F4" w:rsidRPr="00BD6C45">
              <w:rPr>
                <w:rFonts w:ascii="Arial Narrow" w:hAnsi="Arial Narrow" w:cs="Arial Narrow"/>
                <w:color w:val="000000"/>
                <w:sz w:val="21"/>
                <w:szCs w:val="21"/>
                <w:lang w:val="en-GB"/>
              </w:rPr>
              <w:t>,</w:t>
            </w:r>
            <w:r w:rsidRPr="00BD6C45">
              <w:rPr>
                <w:rFonts w:ascii="Arial Narrow" w:hAnsi="Arial Narrow" w:cs="Arial Narrow"/>
                <w:color w:val="000000"/>
                <w:sz w:val="21"/>
                <w:szCs w:val="21"/>
                <w:lang w:val="en-GB"/>
              </w:rPr>
              <w:t xml:space="preserve"> Ticarcillin-clavulanate</w:t>
            </w:r>
          </w:p>
        </w:tc>
        <w:tc>
          <w:tcPr>
            <w:tcW w:w="1278" w:type="dxa"/>
          </w:tcPr>
          <w:p w14:paraId="102DE779"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4C15BEEF"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P1, T2, R2</w:t>
            </w:r>
          </w:p>
        </w:tc>
        <w:tc>
          <w:tcPr>
            <w:tcW w:w="3544" w:type="dxa"/>
          </w:tcPr>
          <w:p w14:paraId="74D4D207" w14:textId="77777777" w:rsidR="00C52531" w:rsidRPr="00BD6C45" w:rsidRDefault="00C75726"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Valuable agents for a range of severe mixed aerobic-anaerobic infections including intra-abdominal infections, aspiration pneumonia, skin/soft tissue infections.</w:t>
            </w:r>
            <w:r w:rsidR="00C52531" w:rsidRPr="00BD6C45">
              <w:rPr>
                <w:rFonts w:ascii="Arial Narrow" w:hAnsi="Arial Narrow" w:cs="Arial Narrow"/>
                <w:color w:val="000000"/>
                <w:sz w:val="21"/>
                <w:szCs w:val="21"/>
                <w:lang w:val="en-GB"/>
              </w:rPr>
              <w:t xml:space="preserve"> </w:t>
            </w:r>
          </w:p>
          <w:p w14:paraId="794AB694" w14:textId="0A828DEB" w:rsidR="00381D80" w:rsidRPr="00BD6C45" w:rsidRDefault="00C52531"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Primary agents for Pseudomonas aeruginosa Neutropenic sepsis</w:t>
            </w:r>
          </w:p>
        </w:tc>
        <w:tc>
          <w:tcPr>
            <w:cnfStyle w:val="000010000000" w:firstRow="0" w:lastRow="0" w:firstColumn="0" w:lastColumn="0" w:oddVBand="1" w:evenVBand="0" w:oddHBand="0" w:evenHBand="0" w:firstRowFirstColumn="0" w:firstRowLastColumn="0" w:lastRowFirstColumn="0" w:lastRowLastColumn="0"/>
            <w:tcW w:w="1560" w:type="dxa"/>
          </w:tcPr>
          <w:p w14:paraId="424B5137"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288014F5"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001CE44B"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1st Generation Cephalosporins</w:t>
            </w:r>
          </w:p>
        </w:tc>
        <w:tc>
          <w:tcPr>
            <w:tcW w:w="1278" w:type="dxa"/>
          </w:tcPr>
          <w:p w14:paraId="6F6EBF1A"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06A62895"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2F6F9FCA"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6851E30B"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24A3C13D" w14:textId="77777777" w:rsidTr="00FF315B">
        <w:trPr>
          <w:trHeight w:val="251"/>
        </w:trPr>
        <w:tc>
          <w:tcPr>
            <w:cnfStyle w:val="000010000000" w:firstRow="0" w:lastRow="0" w:firstColumn="0" w:lastColumn="0" w:oddVBand="1" w:evenVBand="0" w:oddHBand="0" w:evenHBand="0" w:firstRowFirstColumn="0" w:firstRowLastColumn="0" w:lastRowFirstColumn="0" w:lastRowLastColumn="0"/>
            <w:tcW w:w="2797" w:type="dxa"/>
            <w:tcBorders>
              <w:bottom w:val="nil"/>
            </w:tcBorders>
          </w:tcPr>
          <w:p w14:paraId="54B0CD6D"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Cephalexin, cephalothin</w:t>
            </w:r>
            <w:r w:rsidR="000106F4" w:rsidRPr="00BD6C45">
              <w:rPr>
                <w:rFonts w:ascii="Arial Narrow" w:hAnsi="Arial Narrow" w:cs="Arial Narrow"/>
                <w:color w:val="000000"/>
                <w:sz w:val="21"/>
                <w:szCs w:val="21"/>
                <w:lang w:val="en-GB"/>
              </w:rPr>
              <w:t>,</w:t>
            </w:r>
            <w:r w:rsidR="000D45B8" w:rsidRPr="00BD6C45">
              <w:rPr>
                <w:rFonts w:ascii="Arial Narrow" w:hAnsi="Arial Narrow" w:cs="Arial Narrow"/>
                <w:color w:val="000000"/>
                <w:sz w:val="21"/>
                <w:szCs w:val="21"/>
                <w:lang w:val="en-GB"/>
              </w:rPr>
              <w:t xml:space="preserve"> ce</w:t>
            </w:r>
            <w:r w:rsidR="000106F4" w:rsidRPr="00BD6C45">
              <w:rPr>
                <w:rFonts w:ascii="Arial Narrow" w:hAnsi="Arial Narrow" w:cs="Arial Narrow"/>
                <w:color w:val="000000"/>
                <w:sz w:val="21"/>
                <w:szCs w:val="21"/>
                <w:lang w:val="en-GB"/>
              </w:rPr>
              <w:t>f</w:t>
            </w:r>
            <w:r w:rsidR="000D45B8" w:rsidRPr="00BD6C45">
              <w:rPr>
                <w:rFonts w:ascii="Arial Narrow" w:hAnsi="Arial Narrow" w:cs="Arial Narrow"/>
                <w:color w:val="000000"/>
                <w:sz w:val="21"/>
                <w:szCs w:val="21"/>
                <w:lang w:val="en-GB"/>
              </w:rPr>
              <w:t>azolin</w:t>
            </w:r>
          </w:p>
        </w:tc>
        <w:tc>
          <w:tcPr>
            <w:tcW w:w="1278" w:type="dxa"/>
            <w:tcBorders>
              <w:bottom w:val="nil"/>
            </w:tcBorders>
          </w:tcPr>
          <w:p w14:paraId="1DC5A0F2"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Medium</w:t>
            </w:r>
          </w:p>
        </w:tc>
        <w:tc>
          <w:tcPr>
            <w:cnfStyle w:val="000010000000" w:firstRow="0" w:lastRow="0" w:firstColumn="0" w:lastColumn="0" w:oddVBand="1" w:evenVBand="0" w:oddHBand="0" w:evenHBand="0" w:firstRowFirstColumn="0" w:firstRowLastColumn="0" w:lastRowFirstColumn="0" w:lastRowLastColumn="0"/>
            <w:tcW w:w="994" w:type="dxa"/>
            <w:tcBorders>
              <w:bottom w:val="nil"/>
            </w:tcBorders>
          </w:tcPr>
          <w:p w14:paraId="41BC2F4B"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P3, T3, R1</w:t>
            </w:r>
          </w:p>
        </w:tc>
        <w:tc>
          <w:tcPr>
            <w:tcW w:w="3544" w:type="dxa"/>
            <w:tcBorders>
              <w:bottom w:val="nil"/>
            </w:tcBorders>
          </w:tcPr>
          <w:p w14:paraId="6B6F1FBE"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Treatment of minor and staphylococcal infections in penicillin</w:t>
            </w:r>
            <w:r w:rsidR="000D45B8" w:rsidRPr="00BD6C45">
              <w:rPr>
                <w:rFonts w:ascii="Arial Narrow" w:hAnsi="Arial Narrow" w:cs="Arial Narrow"/>
                <w:color w:val="000000"/>
                <w:sz w:val="21"/>
                <w:szCs w:val="21"/>
                <w:lang w:val="en-GB"/>
              </w:rPr>
              <w:t xml:space="preserve"> allergic patients.</w:t>
            </w:r>
          </w:p>
        </w:tc>
        <w:tc>
          <w:tcPr>
            <w:cnfStyle w:val="000010000000" w:firstRow="0" w:lastRow="0" w:firstColumn="0" w:lastColumn="0" w:oddVBand="1" w:evenVBand="0" w:oddHBand="0" w:evenHBand="0" w:firstRowFirstColumn="0" w:firstRowLastColumn="0" w:lastRowFirstColumn="0" w:lastRowLastColumn="0"/>
            <w:tcW w:w="1560" w:type="dxa"/>
            <w:tcBorders>
              <w:bottom w:val="nil"/>
            </w:tcBorders>
          </w:tcPr>
          <w:p w14:paraId="2121B183"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r w:rsidRPr="00BD6C45">
              <w:rPr>
                <w:rFonts w:ascii="Arial Narrow" w:hAnsi="Arial Narrow" w:cs="Arial Narrow"/>
                <w:color w:val="000000"/>
                <w:sz w:val="21"/>
                <w:szCs w:val="21"/>
                <w:lang w:val="en-GB"/>
              </w:rPr>
              <w:br/>
              <w:t>(Cephalexin)</w:t>
            </w:r>
          </w:p>
        </w:tc>
      </w:tr>
      <w:tr w:rsidR="00381D80" w:rsidRPr="00BD6C45" w14:paraId="7408EC28" w14:textId="77777777" w:rsidTr="00FF315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Borders>
              <w:top w:val="nil"/>
            </w:tcBorders>
          </w:tcPr>
          <w:p w14:paraId="3939020C" w14:textId="77777777" w:rsidR="00381D80" w:rsidRPr="00BD6C45" w:rsidRDefault="00381D80" w:rsidP="0087188A">
            <w:pPr>
              <w:pStyle w:val="Default1"/>
              <w:spacing w:line="276" w:lineRule="auto"/>
              <w:ind w:left="426"/>
              <w:rPr>
                <w:rFonts w:ascii="Arial Narrow" w:hAnsi="Arial Narrow" w:cs="Arial Narrow"/>
                <w:color w:val="000000"/>
                <w:sz w:val="21"/>
                <w:szCs w:val="21"/>
                <w:lang w:val="en-GB"/>
              </w:rPr>
            </w:pPr>
          </w:p>
        </w:tc>
        <w:tc>
          <w:tcPr>
            <w:tcW w:w="1278" w:type="dxa"/>
            <w:tcBorders>
              <w:top w:val="nil"/>
            </w:tcBorders>
          </w:tcPr>
          <w:p w14:paraId="5B106BBC"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Borders>
              <w:top w:val="nil"/>
            </w:tcBorders>
          </w:tcPr>
          <w:p w14:paraId="20020249"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Borders>
              <w:top w:val="nil"/>
            </w:tcBorders>
          </w:tcPr>
          <w:p w14:paraId="081E6F15"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Prophylaxis in orthopaedic and other surgery</w:t>
            </w:r>
          </w:p>
        </w:tc>
        <w:tc>
          <w:tcPr>
            <w:cnfStyle w:val="000010000000" w:firstRow="0" w:lastRow="0" w:firstColumn="0" w:lastColumn="0" w:oddVBand="1" w:evenVBand="0" w:oddHBand="0" w:evenHBand="0" w:firstRowFirstColumn="0" w:firstRowLastColumn="0" w:lastRowFirstColumn="0" w:lastRowLastColumn="0"/>
            <w:tcW w:w="1560" w:type="dxa"/>
            <w:tcBorders>
              <w:top w:val="nil"/>
            </w:tcBorders>
          </w:tcPr>
          <w:p w14:paraId="129833D3"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69D6B3B3"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1558B7D0"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2nd Generation Cephalosporins</w:t>
            </w:r>
          </w:p>
        </w:tc>
        <w:tc>
          <w:tcPr>
            <w:tcW w:w="1278" w:type="dxa"/>
          </w:tcPr>
          <w:p w14:paraId="07907504"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4BE5D4BF"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4B1F895D"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13E596CB"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3BC1315A"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6CB8BE94"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Cefaclor</w:t>
            </w:r>
            <w:r w:rsidR="000106F4" w:rsidRPr="00BD6C45">
              <w:rPr>
                <w:rFonts w:ascii="Arial Narrow" w:hAnsi="Arial Narrow" w:cs="Arial Narrow"/>
                <w:color w:val="000000"/>
                <w:sz w:val="21"/>
                <w:szCs w:val="21"/>
                <w:lang w:val="en-GB"/>
              </w:rPr>
              <w:t xml:space="preserve">, </w:t>
            </w:r>
            <w:r w:rsidRPr="00BD6C45">
              <w:rPr>
                <w:rFonts w:ascii="Arial Narrow" w:hAnsi="Arial Narrow" w:cs="Arial Narrow"/>
                <w:color w:val="000000"/>
                <w:sz w:val="21"/>
                <w:szCs w:val="21"/>
                <w:lang w:val="en-GB"/>
              </w:rPr>
              <w:t>cefuroxime-axetil</w:t>
            </w:r>
          </w:p>
        </w:tc>
        <w:tc>
          <w:tcPr>
            <w:tcW w:w="1278" w:type="dxa"/>
          </w:tcPr>
          <w:p w14:paraId="06742AD5"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Medium</w:t>
            </w:r>
          </w:p>
        </w:tc>
        <w:tc>
          <w:tcPr>
            <w:cnfStyle w:val="000010000000" w:firstRow="0" w:lastRow="0" w:firstColumn="0" w:lastColumn="0" w:oddVBand="1" w:evenVBand="0" w:oddHBand="0" w:evenHBand="0" w:firstRowFirstColumn="0" w:firstRowLastColumn="0" w:lastRowFirstColumn="0" w:lastRowLastColumn="0"/>
            <w:tcW w:w="994" w:type="dxa"/>
          </w:tcPr>
          <w:p w14:paraId="319BD29F"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T2, R1</w:t>
            </w:r>
          </w:p>
        </w:tc>
        <w:tc>
          <w:tcPr>
            <w:tcW w:w="3544" w:type="dxa"/>
          </w:tcPr>
          <w:p w14:paraId="41EBDBCD"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Treatment of respiratory infections in penicillin-allergic patients</w:t>
            </w:r>
          </w:p>
        </w:tc>
        <w:tc>
          <w:tcPr>
            <w:cnfStyle w:val="000010000000" w:firstRow="0" w:lastRow="0" w:firstColumn="0" w:lastColumn="0" w:oddVBand="1" w:evenVBand="0" w:oddHBand="0" w:evenHBand="0" w:firstRowFirstColumn="0" w:firstRowLastColumn="0" w:lastRowFirstColumn="0" w:lastRowLastColumn="0"/>
            <w:tcW w:w="1560" w:type="dxa"/>
          </w:tcPr>
          <w:p w14:paraId="105C309A"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r w:rsidRPr="00BD6C45">
              <w:rPr>
                <w:rFonts w:ascii="Arial Narrow" w:hAnsi="Arial Narrow" w:cs="Arial Narrow"/>
                <w:color w:val="000000"/>
                <w:sz w:val="21"/>
                <w:szCs w:val="21"/>
                <w:lang w:val="en-GB"/>
              </w:rPr>
              <w:br/>
              <w:t>(Cefuroxime)</w:t>
            </w:r>
          </w:p>
        </w:tc>
      </w:tr>
      <w:tr w:rsidR="00381D80" w:rsidRPr="00BD6C45" w14:paraId="568ACF2C"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7D8F2661"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lastRenderedPageBreak/>
              <w:t>Cephamycins</w:t>
            </w:r>
          </w:p>
        </w:tc>
        <w:tc>
          <w:tcPr>
            <w:tcW w:w="1278" w:type="dxa"/>
          </w:tcPr>
          <w:p w14:paraId="77C04B86"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271E504A"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50FADD0E"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42FF4870"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7F182014"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263AA6B3"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Cefoxitin</w:t>
            </w:r>
          </w:p>
        </w:tc>
        <w:tc>
          <w:tcPr>
            <w:tcW w:w="1278" w:type="dxa"/>
          </w:tcPr>
          <w:p w14:paraId="3319E118"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Medium</w:t>
            </w:r>
          </w:p>
        </w:tc>
        <w:tc>
          <w:tcPr>
            <w:cnfStyle w:val="000010000000" w:firstRow="0" w:lastRow="0" w:firstColumn="0" w:lastColumn="0" w:oddVBand="1" w:evenVBand="0" w:oddHBand="0" w:evenHBand="0" w:firstRowFirstColumn="0" w:firstRowLastColumn="0" w:lastRowFirstColumn="0" w:lastRowLastColumn="0"/>
            <w:tcW w:w="994" w:type="dxa"/>
          </w:tcPr>
          <w:p w14:paraId="02DD14D0"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P3, T1, R2</w:t>
            </w:r>
          </w:p>
        </w:tc>
        <w:tc>
          <w:tcPr>
            <w:tcW w:w="3544" w:type="dxa"/>
          </w:tcPr>
          <w:p w14:paraId="767420CA"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Useful anti-anaerobic activity, major role in surgical prophylaxis</w:t>
            </w:r>
          </w:p>
        </w:tc>
        <w:tc>
          <w:tcPr>
            <w:cnfStyle w:val="000010000000" w:firstRow="0" w:lastRow="0" w:firstColumn="0" w:lastColumn="0" w:oddVBand="1" w:evenVBand="0" w:oddHBand="0" w:evenHBand="0" w:firstRowFirstColumn="0" w:firstRowLastColumn="0" w:lastRowFirstColumn="0" w:lastRowLastColumn="0"/>
            <w:tcW w:w="1560" w:type="dxa"/>
          </w:tcPr>
          <w:p w14:paraId="601ACC2F"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16752E18"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5B93ACE1"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3rd Generation Cephalosporins</w:t>
            </w:r>
          </w:p>
        </w:tc>
        <w:tc>
          <w:tcPr>
            <w:tcW w:w="1278" w:type="dxa"/>
          </w:tcPr>
          <w:p w14:paraId="4B5C1944"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27422444"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2F760106"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5D11FF1F"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657295A5"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2875FC6D"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Ceftriaxone</w:t>
            </w:r>
          </w:p>
        </w:tc>
        <w:tc>
          <w:tcPr>
            <w:tcW w:w="1278" w:type="dxa"/>
          </w:tcPr>
          <w:p w14:paraId="5161B3CB"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2C3B568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R2</w:t>
            </w:r>
          </w:p>
        </w:tc>
        <w:tc>
          <w:tcPr>
            <w:tcW w:w="3544" w:type="dxa"/>
          </w:tcPr>
          <w:p w14:paraId="7B7436F6"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Major agent in severe pneumonia and meningitis. Used in</w:t>
            </w:r>
            <w:r w:rsidR="000106F4" w:rsidRPr="00BD6C45">
              <w:rPr>
                <w:rFonts w:ascii="Arial Narrow" w:hAnsi="Arial Narrow" w:cs="Arial Narrow"/>
                <w:color w:val="000000"/>
                <w:sz w:val="21"/>
                <w:szCs w:val="21"/>
                <w:lang w:val="en-GB"/>
              </w:rPr>
              <w:t xml:space="preserve"> selected cases for treatment of gonorrhoea and alternative for prophylaxis of meningococcal infection</w:t>
            </w:r>
          </w:p>
        </w:tc>
        <w:tc>
          <w:tcPr>
            <w:cnfStyle w:val="000010000000" w:firstRow="0" w:lastRow="0" w:firstColumn="0" w:lastColumn="0" w:oddVBand="1" w:evenVBand="0" w:oddHBand="0" w:evenHBand="0" w:firstRowFirstColumn="0" w:firstRowLastColumn="0" w:lastRowFirstColumn="0" w:lastRowLastColumn="0"/>
            <w:tcW w:w="1560" w:type="dxa"/>
          </w:tcPr>
          <w:p w14:paraId="346D701B"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19A66E51"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69B83F7C"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Cefotaxime</w:t>
            </w:r>
          </w:p>
        </w:tc>
        <w:tc>
          <w:tcPr>
            <w:tcW w:w="1278" w:type="dxa"/>
          </w:tcPr>
          <w:p w14:paraId="5C685C4D"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2AA9D129"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T3, R2</w:t>
            </w:r>
          </w:p>
        </w:tc>
        <w:tc>
          <w:tcPr>
            <w:tcW w:w="3544" w:type="dxa"/>
          </w:tcPr>
          <w:p w14:paraId="31AFBB37"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Major agent in severe pneumonia and meningitis</w:t>
            </w:r>
          </w:p>
          <w:p w14:paraId="4FC9EDE8" w14:textId="77777777" w:rsidR="00122735" w:rsidRPr="00BD6C45" w:rsidRDefault="00122735"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10B8B939"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C3040F" w:rsidRPr="00BD6C45" w14:paraId="679B70B9"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51BA90CA" w14:textId="77777777" w:rsidR="00C3040F" w:rsidRPr="00BD6C45" w:rsidRDefault="00C3040F" w:rsidP="0087188A">
            <w:pPr>
              <w:pStyle w:val="Default1"/>
              <w:spacing w:line="276" w:lineRule="auto"/>
              <w:rPr>
                <w:rFonts w:ascii="Arial Narrow" w:hAnsi="Arial Narrow" w:cs="Garamond"/>
                <w:color w:val="000000"/>
                <w:sz w:val="21"/>
                <w:szCs w:val="21"/>
                <w:lang w:val="en-GB"/>
              </w:rPr>
            </w:pPr>
            <w:r w:rsidRPr="00BD6C45">
              <w:rPr>
                <w:rFonts w:ascii="Arial Narrow" w:hAnsi="Arial Narrow" w:cs="Arial Narrow"/>
                <w:b/>
                <w:bCs/>
                <w:color w:val="000000"/>
                <w:sz w:val="21"/>
                <w:szCs w:val="21"/>
                <w:lang w:val="en-GB"/>
              </w:rPr>
              <w:t>4th Generation Cephalosporins (and anti pseudomonal)</w:t>
            </w:r>
          </w:p>
        </w:tc>
        <w:tc>
          <w:tcPr>
            <w:tcW w:w="1278" w:type="dxa"/>
          </w:tcPr>
          <w:p w14:paraId="6B11DE51" w14:textId="77777777" w:rsidR="00C3040F" w:rsidRPr="00BD6C45" w:rsidRDefault="00C3040F"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Garamond"/>
                <w:color w:val="000000"/>
                <w:sz w:val="21"/>
                <w:szCs w:val="21"/>
                <w:lang w:val="en-GB"/>
              </w:rPr>
              <w:t xml:space="preserve"> </w:t>
            </w:r>
          </w:p>
        </w:tc>
        <w:tc>
          <w:tcPr>
            <w:cnfStyle w:val="000010000000" w:firstRow="0" w:lastRow="0" w:firstColumn="0" w:lastColumn="0" w:oddVBand="1" w:evenVBand="0" w:oddHBand="0" w:evenHBand="0" w:firstRowFirstColumn="0" w:firstRowLastColumn="0" w:lastRowFirstColumn="0" w:lastRowLastColumn="0"/>
            <w:tcW w:w="994" w:type="dxa"/>
          </w:tcPr>
          <w:p w14:paraId="0449B743" w14:textId="14B7D277" w:rsidR="00C3040F" w:rsidRPr="00BD6C45" w:rsidRDefault="00C3040F" w:rsidP="0087188A">
            <w:pPr>
              <w:pStyle w:val="Default1"/>
              <w:spacing w:line="276" w:lineRule="auto"/>
              <w:jc w:val="center"/>
              <w:rPr>
                <w:rFonts w:ascii="Arial Narrow" w:hAnsi="Arial Narrow" w:cs="Garamond"/>
                <w:color w:val="000000"/>
                <w:sz w:val="21"/>
                <w:szCs w:val="21"/>
                <w:lang w:val="en-GB"/>
              </w:rPr>
            </w:pPr>
          </w:p>
        </w:tc>
        <w:tc>
          <w:tcPr>
            <w:tcW w:w="3544" w:type="dxa"/>
          </w:tcPr>
          <w:p w14:paraId="1B0827CF" w14:textId="77777777" w:rsidR="00C3040F" w:rsidRPr="00BD6C45" w:rsidRDefault="00C3040F"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3B416F98" w14:textId="753DA621" w:rsidR="00C3040F" w:rsidRPr="00BD6C45" w:rsidRDefault="00C3040F" w:rsidP="0087188A">
            <w:pPr>
              <w:pStyle w:val="Default1"/>
              <w:spacing w:line="276" w:lineRule="auto"/>
              <w:jc w:val="center"/>
              <w:rPr>
                <w:rFonts w:ascii="Arial Narrow" w:hAnsi="Arial Narrow" w:cs="Garamond"/>
                <w:color w:val="000000"/>
                <w:sz w:val="21"/>
                <w:szCs w:val="21"/>
                <w:lang w:val="en-GB"/>
              </w:rPr>
            </w:pPr>
          </w:p>
        </w:tc>
      </w:tr>
      <w:tr w:rsidR="00381D80" w:rsidRPr="00BD6C45" w14:paraId="09F3CB07"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51404FEF"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Ceftazidime and cefepime</w:t>
            </w:r>
          </w:p>
        </w:tc>
        <w:tc>
          <w:tcPr>
            <w:tcW w:w="1278" w:type="dxa"/>
          </w:tcPr>
          <w:p w14:paraId="2B475ECA"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6C0C327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P1, T3, R3</w:t>
            </w:r>
          </w:p>
        </w:tc>
        <w:tc>
          <w:tcPr>
            <w:tcW w:w="3544" w:type="dxa"/>
          </w:tcPr>
          <w:p w14:paraId="2AF9CDB6"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Restricted role in pseudomonal infection and neutropenic </w:t>
            </w:r>
            <w:r w:rsidR="00901CAB" w:rsidRPr="00BD6C45">
              <w:rPr>
                <w:rFonts w:ascii="Arial Narrow" w:hAnsi="Arial Narrow" w:cs="Arial Narrow"/>
                <w:color w:val="000000"/>
                <w:sz w:val="21"/>
                <w:szCs w:val="21"/>
                <w:lang w:val="en-GB"/>
              </w:rPr>
              <w:t>sepsis</w:t>
            </w:r>
          </w:p>
        </w:tc>
        <w:tc>
          <w:tcPr>
            <w:cnfStyle w:val="000010000000" w:firstRow="0" w:lastRow="0" w:firstColumn="0" w:lastColumn="0" w:oddVBand="1" w:evenVBand="0" w:oddHBand="0" w:evenHBand="0" w:firstRowFirstColumn="0" w:firstRowLastColumn="0" w:lastRowFirstColumn="0" w:lastRowLastColumn="0"/>
            <w:tcW w:w="1560" w:type="dxa"/>
          </w:tcPr>
          <w:p w14:paraId="4C5592F6"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0E218457"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6416BE8C" w14:textId="77777777" w:rsidR="00381D80" w:rsidRPr="00BD6C45" w:rsidRDefault="00381D80" w:rsidP="0087188A">
            <w:pPr>
              <w:pStyle w:val="Default1"/>
              <w:spacing w:line="276" w:lineRule="auto"/>
              <w:rPr>
                <w:rFonts w:ascii="Arial Narrow" w:hAnsi="Arial Narrow" w:cs="Arial Narrow"/>
                <w:b/>
                <w:bCs/>
                <w:color w:val="000000"/>
                <w:sz w:val="21"/>
                <w:szCs w:val="21"/>
                <w:lang w:val="en-GB"/>
              </w:rPr>
            </w:pPr>
            <w:r w:rsidRPr="00BD6C45">
              <w:rPr>
                <w:rFonts w:ascii="Arial Narrow" w:hAnsi="Arial Narrow" w:cs="Arial Narrow"/>
                <w:b/>
                <w:bCs/>
                <w:color w:val="000000"/>
                <w:sz w:val="21"/>
                <w:szCs w:val="21"/>
                <w:lang w:val="en-GB"/>
              </w:rPr>
              <w:t>Anti-MRSA Cephalosporins</w:t>
            </w:r>
          </w:p>
        </w:tc>
        <w:tc>
          <w:tcPr>
            <w:tcW w:w="1278" w:type="dxa"/>
          </w:tcPr>
          <w:p w14:paraId="57990029"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23A8160A"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02623BC1"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0D9AFE7C"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1420FA9B"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36DEA4F2" w14:textId="77777777" w:rsidR="00381D80" w:rsidRPr="00BD6C45" w:rsidRDefault="00381D80" w:rsidP="0087188A">
            <w:pPr>
              <w:pStyle w:val="Default1"/>
              <w:spacing w:line="276" w:lineRule="auto"/>
              <w:rPr>
                <w:rFonts w:ascii="Arial Narrow" w:hAnsi="Arial Narrow" w:cs="Arial Narrow"/>
                <w:bCs/>
                <w:color w:val="000000"/>
                <w:sz w:val="21"/>
                <w:szCs w:val="21"/>
                <w:lang w:val="en-GB"/>
              </w:rPr>
            </w:pPr>
            <w:r w:rsidRPr="00BD6C45">
              <w:rPr>
                <w:rFonts w:ascii="Arial Narrow" w:hAnsi="Arial Narrow" w:cs="Arial Narrow"/>
                <w:bCs/>
                <w:color w:val="000000"/>
                <w:sz w:val="21"/>
                <w:szCs w:val="21"/>
                <w:lang w:val="en-GB"/>
              </w:rPr>
              <w:t>Ceftaroline</w:t>
            </w:r>
          </w:p>
        </w:tc>
        <w:tc>
          <w:tcPr>
            <w:tcW w:w="1278" w:type="dxa"/>
          </w:tcPr>
          <w:p w14:paraId="166A9941"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12861514"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t>P1, T1, R3</w:t>
            </w:r>
          </w:p>
        </w:tc>
        <w:tc>
          <w:tcPr>
            <w:tcW w:w="3544" w:type="dxa"/>
          </w:tcPr>
          <w:p w14:paraId="3CE3582A"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t>Restricted role in MRSA infection</w:t>
            </w:r>
          </w:p>
        </w:tc>
        <w:tc>
          <w:tcPr>
            <w:cnfStyle w:val="000010000000" w:firstRow="0" w:lastRow="0" w:firstColumn="0" w:lastColumn="0" w:oddVBand="1" w:evenVBand="0" w:oddHBand="0" w:evenHBand="0" w:firstRowFirstColumn="0" w:firstRowLastColumn="0" w:lastRowFirstColumn="0" w:lastRowLastColumn="0"/>
            <w:tcW w:w="1560" w:type="dxa"/>
          </w:tcPr>
          <w:p w14:paraId="78BA0A10"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32681EE1"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503ACA46"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Carbapenems</w:t>
            </w:r>
          </w:p>
        </w:tc>
        <w:tc>
          <w:tcPr>
            <w:tcW w:w="1278" w:type="dxa"/>
          </w:tcPr>
          <w:p w14:paraId="7A6EC195"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06056F63"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198EDEFE"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190D6854"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1982449F"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5F7578B3" w14:textId="77777777" w:rsidR="00381D80" w:rsidRPr="00BD6C45" w:rsidRDefault="000106F4"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Imipenem, meropenem, ertapenem</w:t>
            </w:r>
          </w:p>
        </w:tc>
        <w:tc>
          <w:tcPr>
            <w:tcW w:w="1278" w:type="dxa"/>
          </w:tcPr>
          <w:p w14:paraId="38A45880"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13E3E871"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T3, R4</w:t>
            </w:r>
          </w:p>
        </w:tc>
        <w:tc>
          <w:tcPr>
            <w:tcW w:w="3544" w:type="dxa"/>
          </w:tcPr>
          <w:p w14:paraId="2958E489"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Very broad-spectrum reserve agents for multi-resistant and</w:t>
            </w:r>
            <w:r w:rsidR="000106F4" w:rsidRPr="00BD6C45">
              <w:rPr>
                <w:rFonts w:ascii="Arial Narrow" w:hAnsi="Arial Narrow" w:cs="Arial Narrow"/>
                <w:color w:val="000000"/>
                <w:sz w:val="21"/>
                <w:szCs w:val="21"/>
                <w:lang w:val="en-GB"/>
              </w:rPr>
              <w:t xml:space="preserve"> serious Gram-negative and mixed infections</w:t>
            </w:r>
          </w:p>
        </w:tc>
        <w:tc>
          <w:tcPr>
            <w:cnfStyle w:val="000010000000" w:firstRow="0" w:lastRow="0" w:firstColumn="0" w:lastColumn="0" w:oddVBand="1" w:evenVBand="0" w:oddHBand="0" w:evenHBand="0" w:firstRowFirstColumn="0" w:firstRowLastColumn="0" w:lastRowFirstColumn="0" w:lastRowLastColumn="0"/>
            <w:tcW w:w="1560" w:type="dxa"/>
          </w:tcPr>
          <w:p w14:paraId="5244190F"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21BAFEDB"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6B6C8473"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Monobactams</w:t>
            </w:r>
          </w:p>
        </w:tc>
        <w:tc>
          <w:tcPr>
            <w:tcW w:w="1278" w:type="dxa"/>
          </w:tcPr>
          <w:p w14:paraId="3D2220EB"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6155BC00"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311A23AB"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52D71E87"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4DA2F080"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1DCFDAEC"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Aztreonam</w:t>
            </w:r>
          </w:p>
        </w:tc>
        <w:tc>
          <w:tcPr>
            <w:tcW w:w="1278" w:type="dxa"/>
          </w:tcPr>
          <w:p w14:paraId="4A0E4E86"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21E74CC3"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T3, R4</w:t>
            </w:r>
          </w:p>
        </w:tc>
        <w:tc>
          <w:tcPr>
            <w:tcW w:w="3544" w:type="dxa"/>
          </w:tcPr>
          <w:p w14:paraId="4178A5C3"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Reserve agents for resistant Gram-negative infections or patients</w:t>
            </w:r>
            <w:r w:rsidR="000106F4" w:rsidRPr="00BD6C45">
              <w:rPr>
                <w:rFonts w:ascii="Arial Narrow" w:hAnsi="Arial Narrow" w:cs="Arial Narrow"/>
                <w:color w:val="000000"/>
                <w:sz w:val="21"/>
                <w:szCs w:val="21"/>
                <w:lang w:val="en-GB"/>
              </w:rPr>
              <w:t xml:space="preserve"> with severe ß-lactam allergy</w:t>
            </w:r>
          </w:p>
        </w:tc>
        <w:tc>
          <w:tcPr>
            <w:cnfStyle w:val="000010000000" w:firstRow="0" w:lastRow="0" w:firstColumn="0" w:lastColumn="0" w:oddVBand="1" w:evenVBand="0" w:oddHBand="0" w:evenHBand="0" w:firstRowFirstColumn="0" w:firstRowLastColumn="0" w:lastRowFirstColumn="0" w:lastRowLastColumn="0"/>
            <w:tcW w:w="1560" w:type="dxa"/>
          </w:tcPr>
          <w:p w14:paraId="4C7C0A46"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67A485DB"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6490E310"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Tetracyclines</w:t>
            </w:r>
          </w:p>
        </w:tc>
        <w:tc>
          <w:tcPr>
            <w:tcW w:w="1278" w:type="dxa"/>
          </w:tcPr>
          <w:p w14:paraId="2563BA7A"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7DF58FBE"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5098596B"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7FAB3F33"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0D18FB76" w14:textId="77777777" w:rsidTr="00FF315B">
        <w:trPr>
          <w:trHeight w:val="251"/>
        </w:trPr>
        <w:tc>
          <w:tcPr>
            <w:cnfStyle w:val="000010000000" w:firstRow="0" w:lastRow="0" w:firstColumn="0" w:lastColumn="0" w:oddVBand="1" w:evenVBand="0" w:oddHBand="0" w:evenHBand="0" w:firstRowFirstColumn="0" w:firstRowLastColumn="0" w:lastRowFirstColumn="0" w:lastRowLastColumn="0"/>
            <w:tcW w:w="2797" w:type="dxa"/>
            <w:tcBorders>
              <w:bottom w:val="nil"/>
            </w:tcBorders>
          </w:tcPr>
          <w:p w14:paraId="2DB005FD" w14:textId="77777777" w:rsidR="00381D80" w:rsidRPr="00BD6C45" w:rsidRDefault="000106F4"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Tetracycline, d</w:t>
            </w:r>
            <w:r w:rsidR="00381D80" w:rsidRPr="00BD6C45">
              <w:rPr>
                <w:rFonts w:ascii="Arial Narrow" w:hAnsi="Arial Narrow" w:cs="Arial Narrow"/>
                <w:color w:val="000000"/>
                <w:sz w:val="21"/>
                <w:szCs w:val="21"/>
                <w:lang w:val="en-GB"/>
              </w:rPr>
              <w:t>oxycycline, minocycline</w:t>
            </w:r>
          </w:p>
        </w:tc>
        <w:tc>
          <w:tcPr>
            <w:tcW w:w="1278" w:type="dxa"/>
            <w:tcBorders>
              <w:bottom w:val="nil"/>
            </w:tcBorders>
          </w:tcPr>
          <w:p w14:paraId="54E2962C"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Borders>
              <w:bottom w:val="nil"/>
            </w:tcBorders>
          </w:tcPr>
          <w:p w14:paraId="13A7F8F8"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R1</w:t>
            </w:r>
          </w:p>
        </w:tc>
        <w:tc>
          <w:tcPr>
            <w:tcW w:w="3544" w:type="dxa"/>
            <w:tcBorders>
              <w:bottom w:val="nil"/>
            </w:tcBorders>
          </w:tcPr>
          <w:p w14:paraId="2E06F38C"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Major agents for minor respirat</w:t>
            </w:r>
            <w:r w:rsidR="000106F4" w:rsidRPr="00BD6C45">
              <w:rPr>
                <w:rFonts w:ascii="Arial Narrow" w:hAnsi="Arial Narrow" w:cs="Arial Narrow"/>
                <w:color w:val="000000"/>
                <w:sz w:val="21"/>
                <w:szCs w:val="21"/>
                <w:lang w:val="en-GB"/>
              </w:rPr>
              <w:t>ory tract infections and acne.</w:t>
            </w:r>
          </w:p>
        </w:tc>
        <w:tc>
          <w:tcPr>
            <w:cnfStyle w:val="000010000000" w:firstRow="0" w:lastRow="0" w:firstColumn="0" w:lastColumn="0" w:oddVBand="1" w:evenVBand="0" w:oddHBand="0" w:evenHBand="0" w:firstRowFirstColumn="0" w:firstRowLastColumn="0" w:lastRowFirstColumn="0" w:lastRowLastColumn="0"/>
            <w:tcW w:w="1560" w:type="dxa"/>
            <w:tcBorders>
              <w:bottom w:val="nil"/>
            </w:tcBorders>
          </w:tcPr>
          <w:p w14:paraId="5BBA1734" w14:textId="6A14DBA3" w:rsidR="00DA6BBB"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r w:rsidRPr="00BD6C45">
              <w:rPr>
                <w:rFonts w:ascii="Arial Narrow" w:hAnsi="Arial Narrow" w:cs="Arial Narrow"/>
                <w:color w:val="000000"/>
                <w:sz w:val="21"/>
                <w:szCs w:val="21"/>
                <w:lang w:val="en-GB"/>
              </w:rPr>
              <w:br/>
              <w:t>(Doxycycline)</w:t>
            </w:r>
          </w:p>
        </w:tc>
      </w:tr>
      <w:tr w:rsidR="00381D80" w:rsidRPr="00BD6C45" w14:paraId="29DD7277" w14:textId="77777777" w:rsidTr="00FF315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Borders>
              <w:top w:val="nil"/>
              <w:bottom w:val="nil"/>
            </w:tcBorders>
          </w:tcPr>
          <w:p w14:paraId="1273A1FB"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p>
        </w:tc>
        <w:tc>
          <w:tcPr>
            <w:tcW w:w="1278" w:type="dxa"/>
            <w:tcBorders>
              <w:top w:val="nil"/>
              <w:bottom w:val="nil"/>
            </w:tcBorders>
          </w:tcPr>
          <w:p w14:paraId="7919D1ED"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Borders>
              <w:top w:val="nil"/>
              <w:bottom w:val="nil"/>
            </w:tcBorders>
          </w:tcPr>
          <w:p w14:paraId="6E9776B1"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Borders>
              <w:top w:val="nil"/>
              <w:bottom w:val="nil"/>
            </w:tcBorders>
          </w:tcPr>
          <w:p w14:paraId="43B15F68"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Supportive role in pneumonia for treating </w:t>
            </w:r>
            <w:r w:rsidRPr="00BD6C45">
              <w:rPr>
                <w:rFonts w:ascii="Arial Narrow" w:hAnsi="Arial Narrow" w:cs="Arial Narrow"/>
                <w:i/>
                <w:iCs/>
                <w:color w:val="000000"/>
                <w:sz w:val="21"/>
                <w:szCs w:val="21"/>
                <w:lang w:val="en-GB"/>
              </w:rPr>
              <w:t>Mycoplasma</w:t>
            </w:r>
            <w:r w:rsidRPr="00BD6C45">
              <w:rPr>
                <w:rFonts w:ascii="Arial Narrow" w:hAnsi="Arial Narrow" w:cs="Arial Narrow"/>
                <w:color w:val="000000"/>
                <w:sz w:val="21"/>
                <w:szCs w:val="21"/>
                <w:lang w:val="en-GB"/>
              </w:rPr>
              <w:t xml:space="preserve"> and </w:t>
            </w:r>
            <w:r w:rsidR="000106F4" w:rsidRPr="00BD6C45">
              <w:rPr>
                <w:rFonts w:ascii="Arial Narrow" w:hAnsi="Arial Narrow" w:cs="Arial Narrow"/>
                <w:i/>
                <w:iCs/>
                <w:color w:val="000000"/>
                <w:sz w:val="21"/>
                <w:szCs w:val="21"/>
                <w:lang w:val="en-GB"/>
              </w:rPr>
              <w:t>Chlamydia pneumoniae.</w:t>
            </w:r>
          </w:p>
        </w:tc>
        <w:tc>
          <w:tcPr>
            <w:cnfStyle w:val="000010000000" w:firstRow="0" w:lastRow="0" w:firstColumn="0" w:lastColumn="0" w:oddVBand="1" w:evenVBand="0" w:oddHBand="0" w:evenHBand="0" w:firstRowFirstColumn="0" w:firstRowLastColumn="0" w:lastRowFirstColumn="0" w:lastRowLastColumn="0"/>
            <w:tcW w:w="1560" w:type="dxa"/>
            <w:tcBorders>
              <w:top w:val="nil"/>
              <w:bottom w:val="nil"/>
            </w:tcBorders>
          </w:tcPr>
          <w:p w14:paraId="06A60368" w14:textId="441CBCE0" w:rsidR="00381D80" w:rsidRPr="00BD6C45" w:rsidRDefault="00286528"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sz w:val="21"/>
                <w:szCs w:val="21"/>
                <w:lang w:val="en-GB"/>
              </w:rPr>
              <w:t>(Tetracycline)</w:t>
            </w:r>
          </w:p>
        </w:tc>
      </w:tr>
      <w:tr w:rsidR="00381D80" w:rsidRPr="00BD6C45" w14:paraId="7DE9DE1C" w14:textId="77777777" w:rsidTr="00FF315B">
        <w:trPr>
          <w:trHeight w:val="251"/>
        </w:trPr>
        <w:tc>
          <w:tcPr>
            <w:cnfStyle w:val="000010000000" w:firstRow="0" w:lastRow="0" w:firstColumn="0" w:lastColumn="0" w:oddVBand="1" w:evenVBand="0" w:oddHBand="0" w:evenHBand="0" w:firstRowFirstColumn="0" w:firstRowLastColumn="0" w:lastRowFirstColumn="0" w:lastRowLastColumn="0"/>
            <w:tcW w:w="2797" w:type="dxa"/>
            <w:tcBorders>
              <w:top w:val="nil"/>
              <w:bottom w:val="single" w:sz="8" w:space="0" w:color="4BACC6" w:themeColor="accent5"/>
            </w:tcBorders>
          </w:tcPr>
          <w:p w14:paraId="2F7D1639" w14:textId="77777777" w:rsidR="00381D80" w:rsidRPr="00BD6C45" w:rsidRDefault="00381D80" w:rsidP="0087188A">
            <w:pPr>
              <w:pStyle w:val="Default1"/>
              <w:spacing w:line="276" w:lineRule="auto"/>
              <w:rPr>
                <w:rFonts w:ascii="Arial Narrow" w:hAnsi="Arial Narrow" w:cs="Garamond"/>
                <w:color w:val="000000"/>
                <w:sz w:val="21"/>
                <w:szCs w:val="21"/>
                <w:lang w:val="en-GB"/>
              </w:rPr>
            </w:pPr>
          </w:p>
        </w:tc>
        <w:tc>
          <w:tcPr>
            <w:tcW w:w="1278" w:type="dxa"/>
            <w:tcBorders>
              <w:top w:val="nil"/>
              <w:bottom w:val="single" w:sz="8" w:space="0" w:color="4BACC6" w:themeColor="accent5"/>
            </w:tcBorders>
          </w:tcPr>
          <w:p w14:paraId="6CCA5E1F"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Borders>
              <w:top w:val="nil"/>
              <w:bottom w:val="single" w:sz="8" w:space="0" w:color="4BACC6" w:themeColor="accent5"/>
            </w:tcBorders>
          </w:tcPr>
          <w:p w14:paraId="2A89CE2A"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Borders>
              <w:top w:val="nil"/>
              <w:bottom w:val="single" w:sz="8" w:space="0" w:color="4BACC6" w:themeColor="accent5"/>
            </w:tcBorders>
          </w:tcPr>
          <w:p w14:paraId="03B6E153" w14:textId="4D261D3E" w:rsidR="00381D80" w:rsidRPr="00BD6C45" w:rsidRDefault="00381D80" w:rsidP="00BD6C45">
            <w:pPr>
              <w:pStyle w:val="Default1"/>
              <w:spacing w:after="200"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Ma</w:t>
            </w:r>
            <w:r w:rsidR="001F6B2A" w:rsidRPr="00BD6C45">
              <w:rPr>
                <w:rFonts w:ascii="Arial Narrow" w:hAnsi="Arial Narrow" w:cs="Arial Narrow"/>
                <w:color w:val="000000"/>
                <w:sz w:val="21"/>
                <w:szCs w:val="21"/>
                <w:lang w:val="en-GB"/>
              </w:rPr>
              <w:t>laria prophylaxis (doxycycline)</w:t>
            </w:r>
          </w:p>
        </w:tc>
        <w:tc>
          <w:tcPr>
            <w:cnfStyle w:val="000010000000" w:firstRow="0" w:lastRow="0" w:firstColumn="0" w:lastColumn="0" w:oddVBand="1" w:evenVBand="0" w:oddHBand="0" w:evenHBand="0" w:firstRowFirstColumn="0" w:firstRowLastColumn="0" w:lastRowFirstColumn="0" w:lastRowLastColumn="0"/>
            <w:tcW w:w="1560" w:type="dxa"/>
            <w:tcBorders>
              <w:top w:val="nil"/>
              <w:bottom w:val="single" w:sz="8" w:space="0" w:color="4BACC6" w:themeColor="accent5"/>
            </w:tcBorders>
          </w:tcPr>
          <w:p w14:paraId="19EEEC3F" w14:textId="77777777" w:rsidR="00381D80" w:rsidRPr="00BD6C45" w:rsidRDefault="00381D80" w:rsidP="0087188A">
            <w:pPr>
              <w:pStyle w:val="Default1"/>
              <w:spacing w:line="276" w:lineRule="auto"/>
              <w:jc w:val="center"/>
              <w:rPr>
                <w:rFonts w:ascii="Arial Narrow" w:hAnsi="Arial Narrow" w:cs="Arial Narrow"/>
                <w:i/>
                <w:iCs/>
                <w:color w:val="000000"/>
                <w:sz w:val="21"/>
                <w:szCs w:val="21"/>
                <w:lang w:val="en-GB"/>
              </w:rPr>
            </w:pPr>
          </w:p>
        </w:tc>
      </w:tr>
      <w:tr w:rsidR="00381D80" w:rsidRPr="00BD6C45" w14:paraId="3DD7FCB2" w14:textId="77777777" w:rsidTr="00FF315B">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0FFAE557" w14:textId="77777777" w:rsidR="00381D80" w:rsidRPr="00BD6C45" w:rsidRDefault="000106F4"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G</w:t>
            </w:r>
            <w:r w:rsidR="00381D80" w:rsidRPr="00BD6C45">
              <w:rPr>
                <w:rFonts w:ascii="Arial Narrow" w:hAnsi="Arial Narrow" w:cs="Arial Narrow"/>
                <w:b/>
                <w:bCs/>
                <w:color w:val="000000"/>
                <w:sz w:val="21"/>
                <w:szCs w:val="21"/>
                <w:lang w:val="en-GB"/>
              </w:rPr>
              <w:t>lycylcyclines</w:t>
            </w:r>
          </w:p>
        </w:tc>
        <w:tc>
          <w:tcPr>
            <w:tcW w:w="1278" w:type="dxa"/>
          </w:tcPr>
          <w:p w14:paraId="273CF62D"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68BCDF55"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c>
          <w:tcPr>
            <w:tcW w:w="3544" w:type="dxa"/>
          </w:tcPr>
          <w:p w14:paraId="30D0A88E"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4FDF1FE9" w14:textId="77777777" w:rsidR="00381D80" w:rsidRPr="00BD6C45" w:rsidRDefault="00381D80" w:rsidP="0087188A">
            <w:pPr>
              <w:pStyle w:val="Default1"/>
              <w:spacing w:line="276" w:lineRule="auto"/>
              <w:jc w:val="center"/>
              <w:rPr>
                <w:rFonts w:ascii="Arial Narrow" w:hAnsi="Arial Narrow" w:cs="Arial Narrow"/>
                <w:bCs/>
                <w:color w:val="000000"/>
                <w:sz w:val="21"/>
                <w:szCs w:val="21"/>
                <w:lang w:val="en-GB"/>
              </w:rPr>
            </w:pPr>
          </w:p>
        </w:tc>
      </w:tr>
      <w:tr w:rsidR="00381D80" w:rsidRPr="00BD6C45" w14:paraId="33C34CFC" w14:textId="77777777" w:rsidTr="00BD6C45">
        <w:trPr>
          <w:trHeight w:val="80"/>
        </w:trPr>
        <w:tc>
          <w:tcPr>
            <w:cnfStyle w:val="000010000000" w:firstRow="0" w:lastRow="0" w:firstColumn="0" w:lastColumn="0" w:oddVBand="1" w:evenVBand="0" w:oddHBand="0" w:evenHBand="0" w:firstRowFirstColumn="0" w:firstRowLastColumn="0" w:lastRowFirstColumn="0" w:lastRowLastColumn="0"/>
            <w:tcW w:w="2797" w:type="dxa"/>
          </w:tcPr>
          <w:p w14:paraId="22060458"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Tigecycline</w:t>
            </w:r>
          </w:p>
        </w:tc>
        <w:tc>
          <w:tcPr>
            <w:tcW w:w="1278" w:type="dxa"/>
          </w:tcPr>
          <w:p w14:paraId="5BE168FA"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718523D2"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T1, R4</w:t>
            </w:r>
          </w:p>
        </w:tc>
        <w:tc>
          <w:tcPr>
            <w:tcW w:w="3544" w:type="dxa"/>
          </w:tcPr>
          <w:p w14:paraId="1BBC29CD"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Reserve agent for multi-resistant gram-positives and some </w:t>
            </w:r>
            <w:r w:rsidR="000106F4" w:rsidRPr="00BD6C45">
              <w:rPr>
                <w:rFonts w:ascii="Arial Narrow" w:hAnsi="Arial Narrow" w:cs="Arial Narrow"/>
                <w:color w:val="000000"/>
                <w:sz w:val="21"/>
                <w:szCs w:val="21"/>
                <w:lang w:val="en-GB"/>
              </w:rPr>
              <w:t>multi-resistant gram-negatives</w:t>
            </w:r>
          </w:p>
        </w:tc>
        <w:tc>
          <w:tcPr>
            <w:cnfStyle w:val="000010000000" w:firstRow="0" w:lastRow="0" w:firstColumn="0" w:lastColumn="0" w:oddVBand="1" w:evenVBand="0" w:oddHBand="0" w:evenHBand="0" w:firstRowFirstColumn="0" w:firstRowLastColumn="0" w:lastRowFirstColumn="0" w:lastRowLastColumn="0"/>
            <w:tcW w:w="1560" w:type="dxa"/>
          </w:tcPr>
          <w:p w14:paraId="1C9C505A"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28E4D848"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1F3A86DE"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Glycopeptides</w:t>
            </w:r>
          </w:p>
        </w:tc>
        <w:tc>
          <w:tcPr>
            <w:tcW w:w="1278" w:type="dxa"/>
          </w:tcPr>
          <w:p w14:paraId="2354BF9A"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05473F54"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19553ED4"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7657FF2A"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163CE75D" w14:textId="77777777" w:rsidTr="00FF315B">
        <w:trPr>
          <w:trHeight w:val="251"/>
        </w:trPr>
        <w:tc>
          <w:tcPr>
            <w:cnfStyle w:val="000010000000" w:firstRow="0" w:lastRow="0" w:firstColumn="0" w:lastColumn="0" w:oddVBand="1" w:evenVBand="0" w:oddHBand="0" w:evenHBand="0" w:firstRowFirstColumn="0" w:firstRowLastColumn="0" w:lastRowFirstColumn="0" w:lastRowLastColumn="0"/>
            <w:tcW w:w="2797" w:type="dxa"/>
            <w:tcBorders>
              <w:bottom w:val="nil"/>
            </w:tcBorders>
          </w:tcPr>
          <w:p w14:paraId="6E4A1CE4"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Vancomycin</w:t>
            </w:r>
          </w:p>
        </w:tc>
        <w:tc>
          <w:tcPr>
            <w:tcW w:w="1278" w:type="dxa"/>
            <w:tcBorders>
              <w:bottom w:val="nil"/>
            </w:tcBorders>
          </w:tcPr>
          <w:p w14:paraId="2C4355C2"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Borders>
              <w:bottom w:val="nil"/>
            </w:tcBorders>
          </w:tcPr>
          <w:p w14:paraId="2E3DC1EE"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R2</w:t>
            </w:r>
          </w:p>
        </w:tc>
        <w:tc>
          <w:tcPr>
            <w:tcW w:w="3544" w:type="dxa"/>
            <w:tcBorders>
              <w:bottom w:val="nil"/>
            </w:tcBorders>
          </w:tcPr>
          <w:p w14:paraId="124581C2"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Drug of choice for serious methicillin-resistant staphylococcal</w:t>
            </w:r>
            <w:r w:rsidR="000106F4" w:rsidRPr="00BD6C45">
              <w:rPr>
                <w:rFonts w:ascii="Arial Narrow" w:hAnsi="Arial Narrow" w:cs="Arial Narrow"/>
                <w:color w:val="000000"/>
                <w:sz w:val="21"/>
                <w:szCs w:val="21"/>
                <w:lang w:val="en-GB"/>
              </w:rPr>
              <w:t xml:space="preserve"> infections.</w:t>
            </w:r>
          </w:p>
        </w:tc>
        <w:tc>
          <w:tcPr>
            <w:cnfStyle w:val="000010000000" w:firstRow="0" w:lastRow="0" w:firstColumn="0" w:lastColumn="0" w:oddVBand="1" w:evenVBand="0" w:oddHBand="0" w:evenHBand="0" w:firstRowFirstColumn="0" w:firstRowLastColumn="0" w:lastRowFirstColumn="0" w:lastRowLastColumn="0"/>
            <w:tcW w:w="1560" w:type="dxa"/>
            <w:tcBorders>
              <w:bottom w:val="nil"/>
            </w:tcBorders>
          </w:tcPr>
          <w:p w14:paraId="0F8FAF18"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01ED44F8" w14:textId="77777777" w:rsidTr="00FF315B">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Borders>
              <w:top w:val="nil"/>
            </w:tcBorders>
          </w:tcPr>
          <w:p w14:paraId="3984A4BD" w14:textId="77777777" w:rsidR="00381D80" w:rsidRPr="00BD6C45" w:rsidRDefault="00381D80" w:rsidP="0087188A">
            <w:pPr>
              <w:pStyle w:val="Default1"/>
              <w:spacing w:line="276" w:lineRule="auto"/>
              <w:rPr>
                <w:rFonts w:ascii="Arial Narrow" w:hAnsi="Arial Narrow" w:cs="Garamond"/>
                <w:color w:val="000000"/>
                <w:sz w:val="21"/>
                <w:szCs w:val="21"/>
                <w:lang w:val="en-GB"/>
              </w:rPr>
            </w:pPr>
          </w:p>
        </w:tc>
        <w:tc>
          <w:tcPr>
            <w:tcW w:w="1278" w:type="dxa"/>
            <w:tcBorders>
              <w:top w:val="nil"/>
            </w:tcBorders>
          </w:tcPr>
          <w:p w14:paraId="30B0CB37"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Borders>
              <w:top w:val="nil"/>
            </w:tcBorders>
          </w:tcPr>
          <w:p w14:paraId="0970CDAF"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Borders>
              <w:top w:val="nil"/>
            </w:tcBorders>
          </w:tcPr>
          <w:p w14:paraId="1745833E" w14:textId="77777777" w:rsidR="00381D80"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Reserve agent for enterococcal infection when there is </w:t>
            </w:r>
            <w:r w:rsidR="000106F4" w:rsidRPr="00BD6C45">
              <w:rPr>
                <w:rFonts w:ascii="Arial Narrow" w:hAnsi="Arial Narrow" w:cs="Arial Narrow"/>
                <w:color w:val="000000"/>
                <w:sz w:val="21"/>
                <w:szCs w:val="21"/>
                <w:lang w:val="en-GB"/>
              </w:rPr>
              <w:t>resistance or penicillin allergy</w:t>
            </w:r>
          </w:p>
          <w:p w14:paraId="478F57BD" w14:textId="77777777" w:rsidR="00CB1BD0" w:rsidRPr="00CB1BD0" w:rsidRDefault="00CB1BD0" w:rsidP="00CB1BD0">
            <w:pPr>
              <w:pStyle w:val="Default"/>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560" w:type="dxa"/>
            <w:tcBorders>
              <w:top w:val="nil"/>
            </w:tcBorders>
          </w:tcPr>
          <w:p w14:paraId="6125CB18"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27AB627B"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74DDDF80" w14:textId="77777777" w:rsidR="00381D80" w:rsidRPr="00BD6C45" w:rsidRDefault="00381D80" w:rsidP="0087188A">
            <w:pPr>
              <w:pStyle w:val="Default1"/>
              <w:spacing w:line="276" w:lineRule="auto"/>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lastRenderedPageBreak/>
              <w:t>Teicoplanin</w:t>
            </w:r>
          </w:p>
        </w:tc>
        <w:tc>
          <w:tcPr>
            <w:tcW w:w="1278" w:type="dxa"/>
          </w:tcPr>
          <w:p w14:paraId="7ED43825"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2E7ACD04"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t>P1, T1, R4</w:t>
            </w:r>
          </w:p>
        </w:tc>
        <w:tc>
          <w:tcPr>
            <w:tcW w:w="3544" w:type="dxa"/>
          </w:tcPr>
          <w:p w14:paraId="5BDF6456"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Substitute for vancomycin if intolerance or outpatient IV therapy</w:t>
            </w:r>
          </w:p>
          <w:p w14:paraId="3817E9BF" w14:textId="77777777" w:rsidR="001D79FE" w:rsidRPr="00BD6C45" w:rsidRDefault="001D79FE"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086F0F52"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640EF8E4"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1C01ECA8"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Aminoglycosides</w:t>
            </w:r>
          </w:p>
        </w:tc>
        <w:tc>
          <w:tcPr>
            <w:tcW w:w="1278" w:type="dxa"/>
          </w:tcPr>
          <w:p w14:paraId="10E0970A"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130F2258"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46A536ED"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4B38FB56"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2ADE80B6"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2D6F3D30"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Neomycin (including framycetin)</w:t>
            </w:r>
          </w:p>
        </w:tc>
        <w:tc>
          <w:tcPr>
            <w:tcW w:w="1278" w:type="dxa"/>
          </w:tcPr>
          <w:p w14:paraId="1F8B25AB"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3830D2AF"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P1, T2, R1</w:t>
            </w:r>
          </w:p>
        </w:tc>
        <w:tc>
          <w:tcPr>
            <w:tcW w:w="3544" w:type="dxa"/>
          </w:tcPr>
          <w:p w14:paraId="440F5AF1"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Topical agent for skin infection and gut suppression</w:t>
            </w:r>
          </w:p>
        </w:tc>
        <w:tc>
          <w:tcPr>
            <w:cnfStyle w:val="000010000000" w:firstRow="0" w:lastRow="0" w:firstColumn="0" w:lastColumn="0" w:oddVBand="1" w:evenVBand="0" w:oddHBand="0" w:evenHBand="0" w:firstRowFirstColumn="0" w:firstRowLastColumn="0" w:lastRowFirstColumn="0" w:lastRowLastColumn="0"/>
            <w:tcW w:w="1560" w:type="dxa"/>
          </w:tcPr>
          <w:p w14:paraId="1C20A173"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p>
        </w:tc>
      </w:tr>
      <w:tr w:rsidR="00381D80" w:rsidRPr="00BD6C45" w14:paraId="5E6654D5" w14:textId="77777777" w:rsidTr="00FF315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Borders>
              <w:bottom w:val="nil"/>
            </w:tcBorders>
          </w:tcPr>
          <w:p w14:paraId="34FC87FB" w14:textId="77777777" w:rsidR="00381D80" w:rsidRPr="00BD6C45" w:rsidRDefault="00901CAB"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Gentamicin, </w:t>
            </w:r>
            <w:r w:rsidR="00381D80" w:rsidRPr="00BD6C45">
              <w:rPr>
                <w:rFonts w:ascii="Arial Narrow" w:hAnsi="Arial Narrow" w:cs="Arial Narrow"/>
                <w:color w:val="000000"/>
                <w:sz w:val="21"/>
                <w:szCs w:val="21"/>
                <w:lang w:val="en-GB"/>
              </w:rPr>
              <w:t>tobramycin</w:t>
            </w:r>
          </w:p>
        </w:tc>
        <w:tc>
          <w:tcPr>
            <w:tcW w:w="1278" w:type="dxa"/>
            <w:tcBorders>
              <w:bottom w:val="nil"/>
            </w:tcBorders>
          </w:tcPr>
          <w:p w14:paraId="56F9750F"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Medium</w:t>
            </w:r>
          </w:p>
        </w:tc>
        <w:tc>
          <w:tcPr>
            <w:cnfStyle w:val="000010000000" w:firstRow="0" w:lastRow="0" w:firstColumn="0" w:lastColumn="0" w:oddVBand="1" w:evenVBand="0" w:oddHBand="0" w:evenHBand="0" w:firstRowFirstColumn="0" w:firstRowLastColumn="0" w:lastRowFirstColumn="0" w:lastRowLastColumn="0"/>
            <w:tcW w:w="994" w:type="dxa"/>
            <w:tcBorders>
              <w:bottom w:val="nil"/>
            </w:tcBorders>
          </w:tcPr>
          <w:p w14:paraId="3B0CA83A"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R1</w:t>
            </w:r>
          </w:p>
        </w:tc>
        <w:tc>
          <w:tcPr>
            <w:tcW w:w="3544" w:type="dxa"/>
            <w:tcBorders>
              <w:bottom w:val="nil"/>
            </w:tcBorders>
          </w:tcPr>
          <w:p w14:paraId="6F9E827F" w14:textId="1B0CAA7D"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Standard agents in combination for serious and pseudomonal</w:t>
            </w:r>
            <w:r w:rsidR="004257AB" w:rsidRPr="00BD6C45">
              <w:rPr>
                <w:rFonts w:ascii="Arial Narrow" w:hAnsi="Arial Narrow" w:cs="Arial Narrow"/>
                <w:color w:val="000000"/>
                <w:sz w:val="21"/>
                <w:szCs w:val="21"/>
                <w:lang w:val="en-GB"/>
              </w:rPr>
              <w:t xml:space="preserve"> infection</w:t>
            </w:r>
            <w:r w:rsidR="00FF315B">
              <w:rPr>
                <w:rFonts w:ascii="Arial Narrow" w:hAnsi="Arial Narrow" w:cs="Arial Narrow"/>
                <w:color w:val="000000"/>
                <w:sz w:val="21"/>
                <w:szCs w:val="21"/>
                <w:lang w:val="en-GB"/>
              </w:rPr>
              <w:t>.</w:t>
            </w:r>
          </w:p>
        </w:tc>
        <w:tc>
          <w:tcPr>
            <w:cnfStyle w:val="000010000000" w:firstRow="0" w:lastRow="0" w:firstColumn="0" w:lastColumn="0" w:oddVBand="1" w:evenVBand="0" w:oddHBand="0" w:evenHBand="0" w:firstRowFirstColumn="0" w:firstRowLastColumn="0" w:lastRowFirstColumn="0" w:lastRowLastColumn="0"/>
            <w:tcW w:w="1560" w:type="dxa"/>
            <w:tcBorders>
              <w:bottom w:val="nil"/>
            </w:tcBorders>
          </w:tcPr>
          <w:p w14:paraId="2F0142A4"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r w:rsidRPr="00BD6C45">
              <w:rPr>
                <w:rFonts w:ascii="Arial Narrow" w:hAnsi="Arial Narrow" w:cs="Arial Narrow"/>
                <w:color w:val="000000"/>
                <w:sz w:val="21"/>
                <w:szCs w:val="21"/>
                <w:lang w:val="en-GB"/>
              </w:rPr>
              <w:br/>
              <w:t>(Gentamicin)</w:t>
            </w:r>
          </w:p>
        </w:tc>
      </w:tr>
      <w:tr w:rsidR="00381D80" w:rsidRPr="00BD6C45" w14:paraId="5A56EB63" w14:textId="77777777" w:rsidTr="00FF315B">
        <w:trPr>
          <w:trHeight w:val="251"/>
        </w:trPr>
        <w:tc>
          <w:tcPr>
            <w:cnfStyle w:val="000010000000" w:firstRow="0" w:lastRow="0" w:firstColumn="0" w:lastColumn="0" w:oddVBand="1" w:evenVBand="0" w:oddHBand="0" w:evenHBand="0" w:firstRowFirstColumn="0" w:firstRowLastColumn="0" w:lastRowFirstColumn="0" w:lastRowLastColumn="0"/>
            <w:tcW w:w="2797" w:type="dxa"/>
            <w:tcBorders>
              <w:top w:val="nil"/>
              <w:bottom w:val="single" w:sz="8" w:space="0" w:color="4BACC6" w:themeColor="accent5"/>
            </w:tcBorders>
          </w:tcPr>
          <w:p w14:paraId="16D1659E" w14:textId="77777777" w:rsidR="00381D80" w:rsidRPr="00BD6C45" w:rsidRDefault="00381D80" w:rsidP="0087188A">
            <w:pPr>
              <w:pStyle w:val="Default1"/>
              <w:spacing w:line="276" w:lineRule="auto"/>
              <w:rPr>
                <w:rFonts w:ascii="Arial Narrow" w:hAnsi="Arial Narrow" w:cs="Garamond"/>
                <w:color w:val="000000"/>
                <w:sz w:val="21"/>
                <w:szCs w:val="21"/>
                <w:lang w:val="en-GB"/>
              </w:rPr>
            </w:pPr>
          </w:p>
        </w:tc>
        <w:tc>
          <w:tcPr>
            <w:tcW w:w="1278" w:type="dxa"/>
            <w:tcBorders>
              <w:top w:val="nil"/>
              <w:bottom w:val="single" w:sz="8" w:space="0" w:color="4BACC6" w:themeColor="accent5"/>
            </w:tcBorders>
          </w:tcPr>
          <w:p w14:paraId="7A3429FF"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Borders>
              <w:top w:val="nil"/>
              <w:bottom w:val="single" w:sz="8" w:space="0" w:color="4BACC6" w:themeColor="accent5"/>
            </w:tcBorders>
          </w:tcPr>
          <w:p w14:paraId="3E3C2668"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Borders>
              <w:top w:val="nil"/>
              <w:bottom w:val="single" w:sz="8" w:space="0" w:color="4BACC6" w:themeColor="accent5"/>
            </w:tcBorders>
          </w:tcPr>
          <w:p w14:paraId="249A268B"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Gentamicin used in combination for endocarditis</w:t>
            </w:r>
          </w:p>
        </w:tc>
        <w:tc>
          <w:tcPr>
            <w:cnfStyle w:val="000010000000" w:firstRow="0" w:lastRow="0" w:firstColumn="0" w:lastColumn="0" w:oddVBand="1" w:evenVBand="0" w:oddHBand="0" w:evenHBand="0" w:firstRowFirstColumn="0" w:firstRowLastColumn="0" w:lastRowFirstColumn="0" w:lastRowLastColumn="0"/>
            <w:tcW w:w="1560" w:type="dxa"/>
            <w:tcBorders>
              <w:top w:val="nil"/>
              <w:bottom w:val="single" w:sz="8" w:space="0" w:color="4BACC6" w:themeColor="accent5"/>
            </w:tcBorders>
          </w:tcPr>
          <w:p w14:paraId="48C57644"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77FEABFC" w14:textId="77777777" w:rsidTr="00FF315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53912941"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Amikacin</w:t>
            </w:r>
          </w:p>
        </w:tc>
        <w:tc>
          <w:tcPr>
            <w:tcW w:w="1278" w:type="dxa"/>
          </w:tcPr>
          <w:p w14:paraId="02E878DC"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2B714606"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T2, R4</w:t>
            </w:r>
          </w:p>
        </w:tc>
        <w:tc>
          <w:tcPr>
            <w:tcW w:w="3544" w:type="dxa"/>
          </w:tcPr>
          <w:p w14:paraId="33980D34"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Reserve agents for Gram-negatives resistant to gentamicin and tobramycin</w:t>
            </w:r>
          </w:p>
        </w:tc>
        <w:tc>
          <w:tcPr>
            <w:cnfStyle w:val="000010000000" w:firstRow="0" w:lastRow="0" w:firstColumn="0" w:lastColumn="0" w:oddVBand="1" w:evenVBand="0" w:oddHBand="0" w:evenHBand="0" w:firstRowFirstColumn="0" w:firstRowLastColumn="0" w:lastRowFirstColumn="0" w:lastRowLastColumn="0"/>
            <w:tcW w:w="1560" w:type="dxa"/>
          </w:tcPr>
          <w:p w14:paraId="6B3F5722"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34A8C6F2"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0018CD79" w14:textId="4EBE37F3" w:rsidR="00381D80" w:rsidRPr="00BD6C45" w:rsidRDefault="00381D80" w:rsidP="0087188A">
            <w:pPr>
              <w:pStyle w:val="Default1"/>
              <w:spacing w:line="276" w:lineRule="auto"/>
              <w:rPr>
                <w:rFonts w:ascii="Arial Narrow" w:hAnsi="Arial Narrow" w:cs="Arial Narrow"/>
                <w:sz w:val="21"/>
                <w:szCs w:val="21"/>
                <w:lang w:val="en-GB"/>
              </w:rPr>
            </w:pPr>
            <w:r w:rsidRPr="00BD6C45">
              <w:rPr>
                <w:rFonts w:ascii="Arial Narrow" w:hAnsi="Arial Narrow" w:cs="Arial Narrow"/>
                <w:sz w:val="21"/>
                <w:szCs w:val="21"/>
                <w:lang w:val="en-GB"/>
              </w:rPr>
              <w:t>Spectinomycin</w:t>
            </w:r>
            <w:r w:rsidR="00F265B4" w:rsidRPr="00BD6C45">
              <w:rPr>
                <w:rFonts w:ascii="Arial Narrow" w:hAnsi="Arial Narrow" w:cs="Arial Narrow"/>
                <w:sz w:val="21"/>
                <w:szCs w:val="21"/>
                <w:vertAlign w:val="superscript"/>
                <w:lang w:val="en-GB"/>
              </w:rPr>
              <w:t>3</w:t>
            </w:r>
          </w:p>
        </w:tc>
        <w:tc>
          <w:tcPr>
            <w:tcW w:w="1278" w:type="dxa"/>
          </w:tcPr>
          <w:p w14:paraId="528F5639"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Medium</w:t>
            </w:r>
          </w:p>
        </w:tc>
        <w:tc>
          <w:tcPr>
            <w:cnfStyle w:val="000010000000" w:firstRow="0" w:lastRow="0" w:firstColumn="0" w:lastColumn="0" w:oddVBand="1" w:evenVBand="0" w:oddHBand="0" w:evenHBand="0" w:firstRowFirstColumn="0" w:firstRowLastColumn="0" w:lastRowFirstColumn="0" w:lastRowLastColumn="0"/>
            <w:tcW w:w="994" w:type="dxa"/>
          </w:tcPr>
          <w:p w14:paraId="5FEBBC8C"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T2, R5</w:t>
            </w:r>
          </w:p>
        </w:tc>
        <w:tc>
          <w:tcPr>
            <w:tcW w:w="3544" w:type="dxa"/>
          </w:tcPr>
          <w:p w14:paraId="71AD274A"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Spectinomycin only used for gonorrhoea (infrequently)</w:t>
            </w:r>
          </w:p>
        </w:tc>
        <w:tc>
          <w:tcPr>
            <w:cnfStyle w:val="000010000000" w:firstRow="0" w:lastRow="0" w:firstColumn="0" w:lastColumn="0" w:oddVBand="1" w:evenVBand="0" w:oddHBand="0" w:evenHBand="0" w:firstRowFirstColumn="0" w:firstRowLastColumn="0" w:lastRowFirstColumn="0" w:lastRowLastColumn="0"/>
            <w:tcW w:w="1560" w:type="dxa"/>
          </w:tcPr>
          <w:p w14:paraId="1AC93952"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p>
        </w:tc>
      </w:tr>
      <w:tr w:rsidR="00381D80" w:rsidRPr="00BD6C45" w14:paraId="60D6DBAA"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49E508AE" w14:textId="15FD9F58" w:rsidR="00381D80" w:rsidRPr="00BD6C45" w:rsidRDefault="00381D80" w:rsidP="0087188A">
            <w:pPr>
              <w:pStyle w:val="Default1"/>
              <w:spacing w:line="276" w:lineRule="auto"/>
              <w:rPr>
                <w:rFonts w:ascii="Arial Narrow" w:hAnsi="Arial Narrow" w:cs="Arial Narrow"/>
                <w:sz w:val="21"/>
                <w:szCs w:val="21"/>
                <w:lang w:val="en-GB"/>
              </w:rPr>
            </w:pPr>
            <w:r w:rsidRPr="00BD6C45">
              <w:rPr>
                <w:rFonts w:ascii="Arial Narrow" w:hAnsi="Arial Narrow" w:cs="Arial Narrow"/>
                <w:sz w:val="21"/>
                <w:szCs w:val="21"/>
                <w:lang w:val="en-GB"/>
              </w:rPr>
              <w:t>Streptomycin</w:t>
            </w:r>
            <w:r w:rsidR="00F265B4" w:rsidRPr="00BD6C45">
              <w:rPr>
                <w:rFonts w:ascii="Arial Narrow" w:hAnsi="Arial Narrow" w:cs="Arial Narrow"/>
                <w:sz w:val="21"/>
                <w:szCs w:val="21"/>
                <w:vertAlign w:val="superscript"/>
                <w:lang w:val="en-GB"/>
              </w:rPr>
              <w:t>3</w:t>
            </w:r>
          </w:p>
        </w:tc>
        <w:tc>
          <w:tcPr>
            <w:tcW w:w="1278" w:type="dxa"/>
          </w:tcPr>
          <w:p w14:paraId="728AE216"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55104EE4"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T1, R5</w:t>
            </w:r>
          </w:p>
        </w:tc>
        <w:tc>
          <w:tcPr>
            <w:tcW w:w="3544" w:type="dxa"/>
          </w:tcPr>
          <w:p w14:paraId="6DAF660E"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Rare use in treatment of TB and enterococcal endocarditis</w:t>
            </w:r>
          </w:p>
        </w:tc>
        <w:tc>
          <w:tcPr>
            <w:cnfStyle w:val="000010000000" w:firstRow="0" w:lastRow="0" w:firstColumn="0" w:lastColumn="0" w:oddVBand="1" w:evenVBand="0" w:oddHBand="0" w:evenHBand="0" w:firstRowFirstColumn="0" w:firstRowLastColumn="0" w:lastRowFirstColumn="0" w:lastRowLastColumn="0"/>
            <w:tcW w:w="1560" w:type="dxa"/>
          </w:tcPr>
          <w:p w14:paraId="7CEB1022"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p>
        </w:tc>
      </w:tr>
      <w:tr w:rsidR="00381D80" w:rsidRPr="00BD6C45" w14:paraId="4DFE4674"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2DB5F794" w14:textId="77777777" w:rsidR="00381D80" w:rsidRPr="00BD6C45" w:rsidRDefault="00381D80" w:rsidP="0087188A">
            <w:pPr>
              <w:pStyle w:val="Default1"/>
              <w:spacing w:line="276" w:lineRule="auto"/>
              <w:rPr>
                <w:rFonts w:ascii="Arial Narrow" w:hAnsi="Arial Narrow" w:cs="Arial Narrow"/>
                <w:sz w:val="21"/>
                <w:szCs w:val="21"/>
                <w:lang w:val="en-GB"/>
              </w:rPr>
            </w:pPr>
            <w:r w:rsidRPr="00BD6C45">
              <w:rPr>
                <w:rFonts w:ascii="Arial Narrow" w:hAnsi="Arial Narrow" w:cs="Arial Narrow"/>
                <w:sz w:val="21"/>
                <w:szCs w:val="21"/>
                <w:lang w:val="en-GB"/>
              </w:rPr>
              <w:t>Capreomycin</w:t>
            </w:r>
          </w:p>
        </w:tc>
        <w:tc>
          <w:tcPr>
            <w:tcW w:w="1278" w:type="dxa"/>
          </w:tcPr>
          <w:p w14:paraId="38E7B50B"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2C193D64"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T1, R5</w:t>
            </w:r>
          </w:p>
        </w:tc>
        <w:tc>
          <w:tcPr>
            <w:tcW w:w="3544" w:type="dxa"/>
          </w:tcPr>
          <w:p w14:paraId="5F54E95D"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Rare use in TB</w:t>
            </w:r>
          </w:p>
        </w:tc>
        <w:tc>
          <w:tcPr>
            <w:cnfStyle w:val="000010000000" w:firstRow="0" w:lastRow="0" w:firstColumn="0" w:lastColumn="0" w:oddVBand="1" w:evenVBand="0" w:oddHBand="0" w:evenHBand="0" w:firstRowFirstColumn="0" w:firstRowLastColumn="0" w:lastRowFirstColumn="0" w:lastRowLastColumn="0"/>
            <w:tcW w:w="1560" w:type="dxa"/>
          </w:tcPr>
          <w:p w14:paraId="57896BE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53254F60"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2EE1A470" w14:textId="6D63449A" w:rsidR="00381D80" w:rsidRPr="00BD6C45" w:rsidRDefault="00381D80" w:rsidP="0087188A">
            <w:pPr>
              <w:pStyle w:val="Default1"/>
              <w:spacing w:line="276" w:lineRule="auto"/>
              <w:rPr>
                <w:rFonts w:ascii="Arial Narrow" w:hAnsi="Arial Narrow" w:cs="Arial Narrow"/>
                <w:sz w:val="21"/>
                <w:szCs w:val="21"/>
                <w:lang w:val="en-GB"/>
              </w:rPr>
            </w:pPr>
            <w:r w:rsidRPr="00BD6C45">
              <w:rPr>
                <w:rFonts w:ascii="Arial Narrow" w:hAnsi="Arial Narrow" w:cs="Arial Narrow"/>
                <w:sz w:val="21"/>
                <w:szCs w:val="21"/>
                <w:lang w:val="en-GB"/>
              </w:rPr>
              <w:t>Paromomycin</w:t>
            </w:r>
            <w:r w:rsidR="00F265B4" w:rsidRPr="00BD6C45">
              <w:rPr>
                <w:rFonts w:ascii="Arial Narrow" w:hAnsi="Arial Narrow" w:cs="Arial Narrow"/>
                <w:sz w:val="21"/>
                <w:szCs w:val="21"/>
                <w:vertAlign w:val="superscript"/>
                <w:lang w:val="en-GB"/>
              </w:rPr>
              <w:t>3</w:t>
            </w:r>
          </w:p>
        </w:tc>
        <w:tc>
          <w:tcPr>
            <w:tcW w:w="1278" w:type="dxa"/>
          </w:tcPr>
          <w:p w14:paraId="216E1D6E"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186BB60B"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T1, R5</w:t>
            </w:r>
          </w:p>
        </w:tc>
        <w:tc>
          <w:tcPr>
            <w:tcW w:w="3544" w:type="dxa"/>
          </w:tcPr>
          <w:p w14:paraId="7733767F"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iCs/>
                <w:color w:val="000000"/>
                <w:sz w:val="21"/>
                <w:szCs w:val="21"/>
                <w:lang w:val="en-GB"/>
              </w:rPr>
            </w:pPr>
            <w:r w:rsidRPr="00BD6C45">
              <w:rPr>
                <w:rFonts w:ascii="Arial Narrow" w:hAnsi="Arial Narrow" w:cs="Arial Narrow"/>
                <w:color w:val="000000"/>
                <w:sz w:val="21"/>
                <w:szCs w:val="21"/>
                <w:lang w:val="en-GB"/>
              </w:rPr>
              <w:t xml:space="preserve">Rare use for </w:t>
            </w:r>
            <w:r w:rsidRPr="00BD6C45">
              <w:rPr>
                <w:rFonts w:ascii="Arial Narrow" w:hAnsi="Arial Narrow" w:cs="Arial Narrow"/>
                <w:i/>
                <w:iCs/>
                <w:color w:val="000000"/>
                <w:sz w:val="21"/>
                <w:szCs w:val="21"/>
                <w:lang w:val="en-GB"/>
              </w:rPr>
              <w:t xml:space="preserve">Cryptosporidium </w:t>
            </w:r>
            <w:r w:rsidRPr="00BD6C45">
              <w:rPr>
                <w:rFonts w:ascii="Arial Narrow" w:hAnsi="Arial Narrow" w:cs="Arial Narrow"/>
                <w:iCs/>
                <w:color w:val="000000"/>
                <w:sz w:val="21"/>
                <w:szCs w:val="21"/>
                <w:lang w:val="en-GB"/>
              </w:rPr>
              <w:t>and</w:t>
            </w:r>
            <w:r w:rsidRPr="00BD6C45">
              <w:rPr>
                <w:rFonts w:ascii="Arial Narrow" w:hAnsi="Arial Narrow" w:cs="Arial Narrow"/>
                <w:i/>
                <w:iCs/>
                <w:color w:val="000000"/>
                <w:sz w:val="21"/>
                <w:szCs w:val="21"/>
                <w:lang w:val="en-GB"/>
              </w:rPr>
              <w:t xml:space="preserve"> Dientamoeba </w:t>
            </w:r>
            <w:r w:rsidRPr="00BD6C45">
              <w:rPr>
                <w:rFonts w:ascii="Arial Narrow" w:hAnsi="Arial Narrow" w:cs="Arial Narrow"/>
                <w:color w:val="000000"/>
                <w:sz w:val="21"/>
                <w:szCs w:val="21"/>
                <w:lang w:val="en-GB"/>
              </w:rPr>
              <w:t>infection</w:t>
            </w:r>
          </w:p>
        </w:tc>
        <w:tc>
          <w:tcPr>
            <w:cnfStyle w:val="000010000000" w:firstRow="0" w:lastRow="0" w:firstColumn="0" w:lastColumn="0" w:oddVBand="1" w:evenVBand="0" w:oddHBand="0" w:evenHBand="0" w:firstRowFirstColumn="0" w:firstRowLastColumn="0" w:lastRowFirstColumn="0" w:lastRowLastColumn="0"/>
            <w:tcW w:w="1560" w:type="dxa"/>
          </w:tcPr>
          <w:p w14:paraId="0C55D050"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18E98682"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1808CD81"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Sulfonamides and DHFR inhibitors</w:t>
            </w:r>
          </w:p>
        </w:tc>
        <w:tc>
          <w:tcPr>
            <w:tcW w:w="1278" w:type="dxa"/>
          </w:tcPr>
          <w:p w14:paraId="24C0872F"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090EEE32"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1CD498A8"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22F12A1E"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18AB0B00"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51D9F940" w14:textId="76DF40BC"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Sulfadiazine</w:t>
            </w:r>
            <w:r w:rsidR="00F265B4" w:rsidRPr="00BD6C45">
              <w:rPr>
                <w:rFonts w:ascii="Arial Narrow" w:hAnsi="Arial Narrow" w:cs="Arial Narrow"/>
                <w:sz w:val="21"/>
                <w:szCs w:val="21"/>
                <w:vertAlign w:val="superscript"/>
                <w:lang w:val="en-GB"/>
              </w:rPr>
              <w:t>3</w:t>
            </w:r>
          </w:p>
        </w:tc>
        <w:tc>
          <w:tcPr>
            <w:tcW w:w="1278" w:type="dxa"/>
          </w:tcPr>
          <w:p w14:paraId="323BE5CA"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3EEB528C" w14:textId="0B9BE958"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T3, R</w:t>
            </w:r>
            <w:r w:rsidR="005E6BD6" w:rsidRPr="00BD6C45">
              <w:rPr>
                <w:rFonts w:ascii="Arial Narrow" w:hAnsi="Arial Narrow" w:cs="Arial Narrow"/>
                <w:color w:val="000000"/>
                <w:sz w:val="21"/>
                <w:szCs w:val="21"/>
                <w:lang w:val="en-GB"/>
              </w:rPr>
              <w:t>5</w:t>
            </w:r>
          </w:p>
        </w:tc>
        <w:tc>
          <w:tcPr>
            <w:tcW w:w="3544" w:type="dxa"/>
          </w:tcPr>
          <w:p w14:paraId="64CA885E"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Treatment of acute toxoplasmosis</w:t>
            </w:r>
          </w:p>
        </w:tc>
        <w:tc>
          <w:tcPr>
            <w:cnfStyle w:val="000010000000" w:firstRow="0" w:lastRow="0" w:firstColumn="0" w:lastColumn="0" w:oddVBand="1" w:evenVBand="0" w:oddHBand="0" w:evenHBand="0" w:firstRowFirstColumn="0" w:firstRowLastColumn="0" w:lastRowFirstColumn="0" w:lastRowLastColumn="0"/>
            <w:tcW w:w="1560" w:type="dxa"/>
          </w:tcPr>
          <w:p w14:paraId="48DE713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p>
        </w:tc>
      </w:tr>
      <w:tr w:rsidR="00901CAB" w:rsidRPr="00BD6C45" w14:paraId="47C38273"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74D1D0AB" w14:textId="77777777" w:rsidR="00901CAB" w:rsidRPr="00BD6C45" w:rsidRDefault="00901CAB"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Silver sulfadiazine</w:t>
            </w:r>
          </w:p>
        </w:tc>
        <w:tc>
          <w:tcPr>
            <w:tcW w:w="1278" w:type="dxa"/>
          </w:tcPr>
          <w:p w14:paraId="303F2FE0" w14:textId="77777777" w:rsidR="00901CAB" w:rsidRPr="00BD6C45" w:rsidRDefault="00901CAB"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031C72AE" w14:textId="77777777" w:rsidR="00901CAB" w:rsidRPr="00BD6C45" w:rsidRDefault="00901CAB"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P3, T1, R1</w:t>
            </w:r>
          </w:p>
        </w:tc>
        <w:tc>
          <w:tcPr>
            <w:tcW w:w="3544" w:type="dxa"/>
          </w:tcPr>
          <w:p w14:paraId="75682991" w14:textId="065FB3EC" w:rsidR="00901CAB" w:rsidRPr="00BD6C45" w:rsidRDefault="002F0E76"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Prevention of woun</w:t>
            </w:r>
            <w:r w:rsidR="00901CAB" w:rsidRPr="00BD6C45">
              <w:rPr>
                <w:rFonts w:ascii="Arial Narrow" w:hAnsi="Arial Narrow" w:cs="Arial Narrow"/>
                <w:color w:val="000000"/>
                <w:sz w:val="21"/>
                <w:szCs w:val="21"/>
                <w:lang w:val="en-GB"/>
              </w:rPr>
              <w:t>d infections, especially in burns</w:t>
            </w:r>
          </w:p>
        </w:tc>
        <w:tc>
          <w:tcPr>
            <w:cnfStyle w:val="000010000000" w:firstRow="0" w:lastRow="0" w:firstColumn="0" w:lastColumn="0" w:oddVBand="1" w:evenVBand="0" w:oddHBand="0" w:evenHBand="0" w:firstRowFirstColumn="0" w:firstRowLastColumn="0" w:lastRowFirstColumn="0" w:lastRowLastColumn="0"/>
            <w:tcW w:w="1560" w:type="dxa"/>
          </w:tcPr>
          <w:p w14:paraId="380F8DE6" w14:textId="77777777" w:rsidR="00901CAB" w:rsidRPr="00BD6C45" w:rsidRDefault="00901CAB" w:rsidP="0087188A">
            <w:pPr>
              <w:pStyle w:val="Default1"/>
              <w:spacing w:line="276" w:lineRule="auto"/>
              <w:jc w:val="center"/>
              <w:rPr>
                <w:rFonts w:ascii="Arial Narrow" w:hAnsi="Arial Narrow" w:cs="Arial Narrow"/>
                <w:color w:val="000000"/>
                <w:sz w:val="21"/>
                <w:szCs w:val="21"/>
                <w:lang w:val="en-GB"/>
              </w:rPr>
            </w:pPr>
          </w:p>
        </w:tc>
      </w:tr>
      <w:tr w:rsidR="00381D80" w:rsidRPr="00BD6C45" w14:paraId="7A41EB9B"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32706413"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Sulfacetamide</w:t>
            </w:r>
          </w:p>
        </w:tc>
        <w:tc>
          <w:tcPr>
            <w:tcW w:w="1278" w:type="dxa"/>
          </w:tcPr>
          <w:p w14:paraId="1CBBEEC4"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70C3A214"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T3, R1</w:t>
            </w:r>
          </w:p>
        </w:tc>
        <w:tc>
          <w:tcPr>
            <w:tcW w:w="3544" w:type="dxa"/>
          </w:tcPr>
          <w:p w14:paraId="1C2DC10B"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Treatment of conjunctivitis</w:t>
            </w:r>
          </w:p>
        </w:tc>
        <w:tc>
          <w:tcPr>
            <w:cnfStyle w:val="000010000000" w:firstRow="0" w:lastRow="0" w:firstColumn="0" w:lastColumn="0" w:oddVBand="1" w:evenVBand="0" w:oddHBand="0" w:evenHBand="0" w:firstRowFirstColumn="0" w:firstRowLastColumn="0" w:lastRowFirstColumn="0" w:lastRowLastColumn="0"/>
            <w:tcW w:w="1560" w:type="dxa"/>
          </w:tcPr>
          <w:p w14:paraId="22538C81"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p>
        </w:tc>
      </w:tr>
      <w:tr w:rsidR="00381D80" w:rsidRPr="00BD6C45" w14:paraId="4479AB18"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4DF882BB"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Trimethoprim</w:t>
            </w:r>
          </w:p>
        </w:tc>
        <w:tc>
          <w:tcPr>
            <w:tcW w:w="1278" w:type="dxa"/>
          </w:tcPr>
          <w:p w14:paraId="51BC2FA7"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3B7CECD7"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R1</w:t>
            </w:r>
          </w:p>
        </w:tc>
        <w:tc>
          <w:tcPr>
            <w:tcW w:w="3544" w:type="dxa"/>
          </w:tcPr>
          <w:p w14:paraId="4296BF69"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Treatment and prophylaxis of UTI</w:t>
            </w:r>
          </w:p>
        </w:tc>
        <w:tc>
          <w:tcPr>
            <w:cnfStyle w:val="000010000000" w:firstRow="0" w:lastRow="0" w:firstColumn="0" w:lastColumn="0" w:oddVBand="1" w:evenVBand="0" w:oddHBand="0" w:evenHBand="0" w:firstRowFirstColumn="0" w:firstRowLastColumn="0" w:lastRowFirstColumn="0" w:lastRowLastColumn="0"/>
            <w:tcW w:w="1560" w:type="dxa"/>
          </w:tcPr>
          <w:p w14:paraId="2C39E7A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p>
        </w:tc>
      </w:tr>
      <w:tr w:rsidR="00381D80" w:rsidRPr="00BD6C45" w14:paraId="7D6254D6" w14:textId="77777777" w:rsidTr="00FF315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Borders>
              <w:bottom w:val="nil"/>
            </w:tcBorders>
          </w:tcPr>
          <w:p w14:paraId="0AA589FE"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Trimethoprim-sulfamethoxazole</w:t>
            </w:r>
            <w:r w:rsidR="00901CAB" w:rsidRPr="00BD6C45">
              <w:rPr>
                <w:rFonts w:ascii="Arial Narrow" w:hAnsi="Arial Narrow" w:cs="Arial Narrow"/>
                <w:color w:val="000000"/>
                <w:sz w:val="21"/>
                <w:szCs w:val="21"/>
                <w:lang w:val="en-GB"/>
              </w:rPr>
              <w:t xml:space="preserve"> (</w:t>
            </w:r>
            <w:r w:rsidR="00321223" w:rsidRPr="00BD6C45">
              <w:rPr>
                <w:rFonts w:ascii="Arial Narrow" w:hAnsi="Arial Narrow" w:cs="Arial Narrow"/>
                <w:color w:val="000000"/>
                <w:sz w:val="21"/>
                <w:szCs w:val="21"/>
                <w:lang w:val="en-GB"/>
              </w:rPr>
              <w:t>=</w:t>
            </w:r>
            <w:r w:rsidR="00901CAB" w:rsidRPr="00BD6C45">
              <w:rPr>
                <w:rFonts w:ascii="Arial Narrow" w:hAnsi="Arial Narrow" w:cs="Arial Narrow"/>
                <w:color w:val="000000"/>
                <w:sz w:val="21"/>
                <w:szCs w:val="21"/>
                <w:lang w:val="en-GB"/>
              </w:rPr>
              <w:t>co-trimoxazole)</w:t>
            </w:r>
          </w:p>
        </w:tc>
        <w:tc>
          <w:tcPr>
            <w:tcW w:w="1278" w:type="dxa"/>
            <w:tcBorders>
              <w:bottom w:val="nil"/>
            </w:tcBorders>
          </w:tcPr>
          <w:p w14:paraId="0BAB99B0"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Medium</w:t>
            </w:r>
          </w:p>
        </w:tc>
        <w:tc>
          <w:tcPr>
            <w:cnfStyle w:val="000010000000" w:firstRow="0" w:lastRow="0" w:firstColumn="0" w:lastColumn="0" w:oddVBand="1" w:evenVBand="0" w:oddHBand="0" w:evenHBand="0" w:firstRowFirstColumn="0" w:firstRowLastColumn="0" w:lastRowFirstColumn="0" w:lastRowLastColumn="0"/>
            <w:tcW w:w="994" w:type="dxa"/>
            <w:tcBorders>
              <w:bottom w:val="nil"/>
            </w:tcBorders>
          </w:tcPr>
          <w:p w14:paraId="5133A232"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R1</w:t>
            </w:r>
          </w:p>
        </w:tc>
        <w:tc>
          <w:tcPr>
            <w:tcW w:w="3544" w:type="dxa"/>
            <w:tcBorders>
              <w:bottom w:val="nil"/>
            </w:tcBorders>
          </w:tcPr>
          <w:p w14:paraId="44E226EA"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Minor infections, especially treatment and prophylaxis of UTI.</w:t>
            </w:r>
          </w:p>
        </w:tc>
        <w:tc>
          <w:tcPr>
            <w:cnfStyle w:val="000010000000" w:firstRow="0" w:lastRow="0" w:firstColumn="0" w:lastColumn="0" w:oddVBand="1" w:evenVBand="0" w:oddHBand="0" w:evenHBand="0" w:firstRowFirstColumn="0" w:firstRowLastColumn="0" w:lastRowFirstColumn="0" w:lastRowLastColumn="0"/>
            <w:tcW w:w="1560" w:type="dxa"/>
            <w:tcBorders>
              <w:bottom w:val="nil"/>
            </w:tcBorders>
          </w:tcPr>
          <w:p w14:paraId="32FBB52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062134FA" w14:textId="77777777" w:rsidTr="00FF315B">
        <w:trPr>
          <w:trHeight w:val="251"/>
        </w:trPr>
        <w:tc>
          <w:tcPr>
            <w:cnfStyle w:val="000010000000" w:firstRow="0" w:lastRow="0" w:firstColumn="0" w:lastColumn="0" w:oddVBand="1" w:evenVBand="0" w:oddHBand="0" w:evenHBand="0" w:firstRowFirstColumn="0" w:firstRowLastColumn="0" w:lastRowFirstColumn="0" w:lastRowLastColumn="0"/>
            <w:tcW w:w="2797" w:type="dxa"/>
            <w:tcBorders>
              <w:top w:val="nil"/>
              <w:bottom w:val="nil"/>
            </w:tcBorders>
          </w:tcPr>
          <w:p w14:paraId="405D9F9C"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p>
        </w:tc>
        <w:tc>
          <w:tcPr>
            <w:tcW w:w="1278" w:type="dxa"/>
            <w:tcBorders>
              <w:top w:val="nil"/>
              <w:bottom w:val="nil"/>
            </w:tcBorders>
          </w:tcPr>
          <w:p w14:paraId="62C105E7"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Borders>
              <w:top w:val="nil"/>
              <w:bottom w:val="nil"/>
            </w:tcBorders>
          </w:tcPr>
          <w:p w14:paraId="220C4DC8"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Borders>
              <w:top w:val="nil"/>
              <w:bottom w:val="nil"/>
            </w:tcBorders>
          </w:tcPr>
          <w:p w14:paraId="4D10A37C"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Standard for treatment and prophylaxis of </w:t>
            </w:r>
            <w:r w:rsidRPr="00BD6C45">
              <w:rPr>
                <w:rFonts w:ascii="Arial Narrow" w:hAnsi="Arial Narrow" w:cs="Arial Narrow"/>
                <w:i/>
                <w:iCs/>
                <w:color w:val="000000"/>
                <w:sz w:val="21"/>
                <w:szCs w:val="21"/>
                <w:lang w:val="en-GB"/>
              </w:rPr>
              <w:t xml:space="preserve">Pneumocystis </w:t>
            </w:r>
            <w:r w:rsidR="00321223" w:rsidRPr="00BD6C45">
              <w:rPr>
                <w:rFonts w:ascii="Arial Narrow" w:hAnsi="Arial Narrow" w:cs="Arial Narrow"/>
                <w:i/>
                <w:iCs/>
                <w:color w:val="000000"/>
                <w:sz w:val="21"/>
                <w:szCs w:val="21"/>
                <w:lang w:val="en-GB"/>
              </w:rPr>
              <w:t>jirovec</w:t>
            </w:r>
            <w:r w:rsidRPr="00BD6C45">
              <w:rPr>
                <w:rFonts w:ascii="Arial Narrow" w:hAnsi="Arial Narrow" w:cs="Arial Narrow"/>
                <w:i/>
                <w:iCs/>
                <w:color w:val="000000"/>
                <w:sz w:val="21"/>
                <w:szCs w:val="21"/>
                <w:lang w:val="en-GB"/>
              </w:rPr>
              <w:t>i</w:t>
            </w:r>
            <w:r w:rsidR="00901CAB" w:rsidRPr="00BD6C45">
              <w:rPr>
                <w:rFonts w:ascii="Arial Narrow" w:hAnsi="Arial Narrow" w:cs="Arial Narrow"/>
                <w:color w:val="000000"/>
                <w:sz w:val="21"/>
                <w:szCs w:val="21"/>
                <w:lang w:val="en-GB"/>
              </w:rPr>
              <w:t xml:space="preserve"> infection and nocardiasis.</w:t>
            </w:r>
          </w:p>
        </w:tc>
        <w:tc>
          <w:tcPr>
            <w:cnfStyle w:val="000010000000" w:firstRow="0" w:lastRow="0" w:firstColumn="0" w:lastColumn="0" w:oddVBand="1" w:evenVBand="0" w:oddHBand="0" w:evenHBand="0" w:firstRowFirstColumn="0" w:firstRowLastColumn="0" w:lastRowFirstColumn="0" w:lastRowLastColumn="0"/>
            <w:tcW w:w="1560" w:type="dxa"/>
            <w:tcBorders>
              <w:top w:val="nil"/>
              <w:bottom w:val="nil"/>
            </w:tcBorders>
          </w:tcPr>
          <w:p w14:paraId="125C9DDF"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5FAD8F41" w14:textId="77777777" w:rsidTr="00FF315B">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2797" w:type="dxa"/>
            <w:tcBorders>
              <w:top w:val="nil"/>
            </w:tcBorders>
          </w:tcPr>
          <w:p w14:paraId="42FA20CE" w14:textId="77777777" w:rsidR="00381D80" w:rsidRPr="00BD6C45" w:rsidRDefault="00381D80" w:rsidP="0087188A">
            <w:pPr>
              <w:pStyle w:val="Default1"/>
              <w:spacing w:line="276" w:lineRule="auto"/>
              <w:rPr>
                <w:rFonts w:ascii="Arial Narrow" w:hAnsi="Arial Narrow" w:cs="Garamond"/>
                <w:color w:val="000000"/>
                <w:sz w:val="21"/>
                <w:szCs w:val="21"/>
                <w:lang w:val="en-GB"/>
              </w:rPr>
            </w:pPr>
          </w:p>
        </w:tc>
        <w:tc>
          <w:tcPr>
            <w:tcW w:w="1278" w:type="dxa"/>
            <w:tcBorders>
              <w:top w:val="nil"/>
            </w:tcBorders>
          </w:tcPr>
          <w:p w14:paraId="10C94B57"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Borders>
              <w:top w:val="nil"/>
            </w:tcBorders>
          </w:tcPr>
          <w:p w14:paraId="155C0D8B"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Borders>
              <w:top w:val="nil"/>
            </w:tcBorders>
          </w:tcPr>
          <w:p w14:paraId="0780452C"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Important for community-acquired MRSA infections</w:t>
            </w:r>
          </w:p>
        </w:tc>
        <w:tc>
          <w:tcPr>
            <w:cnfStyle w:val="000010000000" w:firstRow="0" w:lastRow="0" w:firstColumn="0" w:lastColumn="0" w:oddVBand="1" w:evenVBand="0" w:oddHBand="0" w:evenHBand="0" w:firstRowFirstColumn="0" w:firstRowLastColumn="0" w:lastRowFirstColumn="0" w:lastRowLastColumn="0"/>
            <w:tcW w:w="1560" w:type="dxa"/>
            <w:tcBorders>
              <w:top w:val="nil"/>
            </w:tcBorders>
          </w:tcPr>
          <w:p w14:paraId="5EEA5AE3"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6E68FDB3"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205D93D2"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Sulfadoxine-pyrimethamine</w:t>
            </w:r>
          </w:p>
        </w:tc>
        <w:tc>
          <w:tcPr>
            <w:tcW w:w="1278" w:type="dxa"/>
          </w:tcPr>
          <w:p w14:paraId="40FCA5A6"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376B9A49"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P1, T1, R3</w:t>
            </w:r>
          </w:p>
        </w:tc>
        <w:tc>
          <w:tcPr>
            <w:tcW w:w="3544" w:type="dxa"/>
          </w:tcPr>
          <w:p w14:paraId="360AB936"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Treatment and prophylaxis of malaria</w:t>
            </w:r>
          </w:p>
        </w:tc>
        <w:tc>
          <w:tcPr>
            <w:cnfStyle w:val="000010000000" w:firstRow="0" w:lastRow="0" w:firstColumn="0" w:lastColumn="0" w:oddVBand="1" w:evenVBand="0" w:oddHBand="0" w:evenHBand="0" w:firstRowFirstColumn="0" w:firstRowLastColumn="0" w:lastRowFirstColumn="0" w:lastRowLastColumn="0"/>
            <w:tcW w:w="1560" w:type="dxa"/>
          </w:tcPr>
          <w:p w14:paraId="54702C86" w14:textId="77777777" w:rsidR="00381D80" w:rsidRPr="00BD6C45" w:rsidRDefault="00024418"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r w:rsidRPr="00BD6C45">
              <w:rPr>
                <w:rFonts w:ascii="Arial Narrow" w:hAnsi="Arial Narrow" w:cs="Arial Narrow"/>
                <w:color w:val="000000"/>
                <w:sz w:val="21"/>
                <w:szCs w:val="21"/>
                <w:lang w:val="en-GB"/>
              </w:rPr>
              <w:br/>
              <w:t>(Sulfadoxine)</w:t>
            </w:r>
          </w:p>
        </w:tc>
      </w:tr>
      <w:tr w:rsidR="00381D80" w:rsidRPr="00BD6C45" w14:paraId="27B8D584"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4CD9A0E1"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Proguanil</w:t>
            </w:r>
          </w:p>
        </w:tc>
        <w:tc>
          <w:tcPr>
            <w:tcW w:w="1278" w:type="dxa"/>
          </w:tcPr>
          <w:p w14:paraId="53FDC475"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4966ABD9"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T1, R3</w:t>
            </w:r>
          </w:p>
        </w:tc>
        <w:tc>
          <w:tcPr>
            <w:tcW w:w="3544" w:type="dxa"/>
          </w:tcPr>
          <w:p w14:paraId="02DB7A87"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Malaria prophylaxis</w:t>
            </w:r>
          </w:p>
        </w:tc>
        <w:tc>
          <w:tcPr>
            <w:cnfStyle w:val="000010000000" w:firstRow="0" w:lastRow="0" w:firstColumn="0" w:lastColumn="0" w:oddVBand="1" w:evenVBand="0" w:oddHBand="0" w:evenHBand="0" w:firstRowFirstColumn="0" w:firstRowLastColumn="0" w:lastRowFirstColumn="0" w:lastRowLastColumn="0"/>
            <w:tcW w:w="1560" w:type="dxa"/>
          </w:tcPr>
          <w:p w14:paraId="38F84697"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1F6B2A" w:rsidRPr="00BD6C45" w14:paraId="6674CF9B" w14:textId="77777777" w:rsidTr="00BD6C45">
        <w:trPr>
          <w:trHeight w:val="277"/>
        </w:trPr>
        <w:tc>
          <w:tcPr>
            <w:cnfStyle w:val="000010000000" w:firstRow="0" w:lastRow="0" w:firstColumn="0" w:lastColumn="0" w:oddVBand="1" w:evenVBand="0" w:oddHBand="0" w:evenHBand="0" w:firstRowFirstColumn="0" w:firstRowLastColumn="0" w:lastRowFirstColumn="0" w:lastRowLastColumn="0"/>
            <w:tcW w:w="2797" w:type="dxa"/>
          </w:tcPr>
          <w:p w14:paraId="0AEA0250" w14:textId="2A4D65DF" w:rsidR="001F6B2A" w:rsidRPr="00BD6C45" w:rsidRDefault="001F6B2A" w:rsidP="0087188A">
            <w:pPr>
              <w:pStyle w:val="Default1"/>
              <w:spacing w:line="276" w:lineRule="auto"/>
              <w:rPr>
                <w:rFonts w:ascii="Arial Narrow" w:hAnsi="Arial Narrow" w:cs="Arial Narrow"/>
                <w:bCs/>
                <w:color w:val="000000"/>
                <w:sz w:val="21"/>
                <w:szCs w:val="21"/>
                <w:lang w:val="en-GB"/>
              </w:rPr>
            </w:pPr>
            <w:r w:rsidRPr="00BD6C45">
              <w:rPr>
                <w:rFonts w:ascii="Arial Narrow" w:hAnsi="Arial Narrow" w:cs="Arial Narrow"/>
                <w:bCs/>
                <w:color w:val="000000"/>
                <w:sz w:val="21"/>
                <w:szCs w:val="21"/>
                <w:lang w:val="en-GB"/>
              </w:rPr>
              <w:t>Pyrimethamine</w:t>
            </w:r>
          </w:p>
        </w:tc>
        <w:tc>
          <w:tcPr>
            <w:tcW w:w="1278" w:type="dxa"/>
          </w:tcPr>
          <w:p w14:paraId="4E676F42" w14:textId="7649D973" w:rsidR="001F6B2A" w:rsidRPr="00BD6C45" w:rsidRDefault="001F6B2A"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Garamond"/>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712419A8" w14:textId="60C8955F" w:rsidR="00FF315B" w:rsidRPr="00FF315B" w:rsidRDefault="001F6B2A" w:rsidP="00CB1BD0">
            <w:pPr>
              <w:pStyle w:val="Default1"/>
              <w:spacing w:line="276" w:lineRule="auto"/>
              <w:jc w:val="center"/>
              <w:rPr>
                <w:lang w:val="en-GB"/>
              </w:rPr>
            </w:pPr>
            <w:r w:rsidRPr="00BD6C45">
              <w:rPr>
                <w:rFonts w:ascii="Arial Narrow" w:hAnsi="Arial Narrow" w:cs="Garamond"/>
                <w:color w:val="000000"/>
                <w:sz w:val="21"/>
                <w:szCs w:val="21"/>
                <w:lang w:val="en-GB"/>
              </w:rPr>
              <w:t>P0, T3, R1</w:t>
            </w:r>
          </w:p>
        </w:tc>
        <w:tc>
          <w:tcPr>
            <w:tcW w:w="3544" w:type="dxa"/>
          </w:tcPr>
          <w:p w14:paraId="10F92457" w14:textId="3DCFC28D" w:rsidR="001F6B2A" w:rsidRPr="00BD6C45" w:rsidRDefault="001F6B2A"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Treatment of toxoplasmosis</w:t>
            </w:r>
          </w:p>
        </w:tc>
        <w:tc>
          <w:tcPr>
            <w:cnfStyle w:val="000010000000" w:firstRow="0" w:lastRow="0" w:firstColumn="0" w:lastColumn="0" w:oddVBand="1" w:evenVBand="0" w:oddHBand="0" w:evenHBand="0" w:firstRowFirstColumn="0" w:firstRowLastColumn="0" w:lastRowFirstColumn="0" w:lastRowLastColumn="0"/>
            <w:tcW w:w="1560" w:type="dxa"/>
          </w:tcPr>
          <w:p w14:paraId="40F3DD12" w14:textId="77777777" w:rsidR="001F6B2A" w:rsidRPr="00BD6C45" w:rsidRDefault="001F6B2A" w:rsidP="0087188A">
            <w:pPr>
              <w:pStyle w:val="Default1"/>
              <w:spacing w:line="276" w:lineRule="auto"/>
              <w:jc w:val="center"/>
              <w:rPr>
                <w:rFonts w:ascii="Arial Narrow" w:hAnsi="Arial Narrow" w:cs="Arial Narrow"/>
                <w:color w:val="000000"/>
                <w:sz w:val="21"/>
                <w:szCs w:val="21"/>
                <w:lang w:val="en-GB"/>
              </w:rPr>
            </w:pPr>
          </w:p>
        </w:tc>
      </w:tr>
      <w:tr w:rsidR="00381D80" w:rsidRPr="00BD6C45" w14:paraId="6D6AAF49" w14:textId="77777777" w:rsidTr="00BD6C45">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2797" w:type="dxa"/>
          </w:tcPr>
          <w:p w14:paraId="111FB51D"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lastRenderedPageBreak/>
              <w:t>Oxazolidinones</w:t>
            </w:r>
          </w:p>
        </w:tc>
        <w:tc>
          <w:tcPr>
            <w:tcW w:w="1278" w:type="dxa"/>
          </w:tcPr>
          <w:p w14:paraId="0873DF86"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6052BDD1"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6148E639"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44B4F6BE"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77AFF1F3"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30D382AD"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Linezolid</w:t>
            </w:r>
          </w:p>
        </w:tc>
        <w:tc>
          <w:tcPr>
            <w:tcW w:w="1278" w:type="dxa"/>
          </w:tcPr>
          <w:p w14:paraId="3D48E3C4"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3056A388"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T1, R4</w:t>
            </w:r>
          </w:p>
        </w:tc>
        <w:tc>
          <w:tcPr>
            <w:tcW w:w="3544" w:type="dxa"/>
          </w:tcPr>
          <w:p w14:paraId="06CC5D45"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Treatment of multi-resistant Gram-positive infections, especially</w:t>
            </w:r>
            <w:r w:rsidR="00321223" w:rsidRPr="00BD6C45">
              <w:rPr>
                <w:rFonts w:ascii="Arial Narrow" w:hAnsi="Arial Narrow" w:cs="Arial Narrow"/>
                <w:color w:val="000000"/>
                <w:sz w:val="21"/>
                <w:szCs w:val="21"/>
                <w:lang w:val="en-GB"/>
              </w:rPr>
              <w:t xml:space="preserve"> MRSA and VRE</w:t>
            </w:r>
          </w:p>
        </w:tc>
        <w:tc>
          <w:tcPr>
            <w:cnfStyle w:val="000010000000" w:firstRow="0" w:lastRow="0" w:firstColumn="0" w:lastColumn="0" w:oddVBand="1" w:evenVBand="0" w:oddHBand="0" w:evenHBand="0" w:firstRowFirstColumn="0" w:firstRowLastColumn="0" w:lastRowFirstColumn="0" w:lastRowLastColumn="0"/>
            <w:tcW w:w="1560" w:type="dxa"/>
          </w:tcPr>
          <w:p w14:paraId="6922D0C5"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06D80BB3"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50ED80BA"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Macrolides</w:t>
            </w:r>
          </w:p>
        </w:tc>
        <w:tc>
          <w:tcPr>
            <w:tcW w:w="1278" w:type="dxa"/>
          </w:tcPr>
          <w:p w14:paraId="427048B2"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68A1A86F"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1CC78703"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2D934C04"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056C6F4F" w14:textId="77777777" w:rsidTr="00BD6C45">
        <w:trPr>
          <w:trHeight w:val="262"/>
        </w:trPr>
        <w:tc>
          <w:tcPr>
            <w:cnfStyle w:val="000010000000" w:firstRow="0" w:lastRow="0" w:firstColumn="0" w:lastColumn="0" w:oddVBand="1" w:evenVBand="0" w:oddHBand="0" w:evenHBand="0" w:firstRowFirstColumn="0" w:firstRowLastColumn="0" w:lastRowFirstColumn="0" w:lastRowLastColumn="0"/>
            <w:tcW w:w="2797" w:type="dxa"/>
          </w:tcPr>
          <w:p w14:paraId="29458821"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Azithromycin</w:t>
            </w:r>
          </w:p>
        </w:tc>
        <w:tc>
          <w:tcPr>
            <w:tcW w:w="1278" w:type="dxa"/>
          </w:tcPr>
          <w:p w14:paraId="6B841302"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44DA1655"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P3, T3, R2</w:t>
            </w:r>
          </w:p>
        </w:tc>
        <w:tc>
          <w:tcPr>
            <w:tcW w:w="3544" w:type="dxa"/>
          </w:tcPr>
          <w:p w14:paraId="7D979637" w14:textId="19729655"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Treatment of </w:t>
            </w:r>
            <w:r w:rsidRPr="00BD6C45">
              <w:rPr>
                <w:rFonts w:ascii="Arial Narrow" w:hAnsi="Arial Narrow" w:cs="Arial Narrow"/>
                <w:i/>
                <w:iCs/>
                <w:color w:val="000000"/>
                <w:sz w:val="21"/>
                <w:szCs w:val="21"/>
                <w:lang w:val="en-GB"/>
              </w:rPr>
              <w:t>Chlamydia trachomatis</w:t>
            </w:r>
            <w:r w:rsidRPr="00BD6C45">
              <w:rPr>
                <w:rFonts w:ascii="Arial Narrow" w:hAnsi="Arial Narrow" w:cs="Arial Narrow"/>
                <w:color w:val="000000"/>
                <w:sz w:val="21"/>
                <w:szCs w:val="21"/>
                <w:lang w:val="en-GB"/>
              </w:rPr>
              <w:t xml:space="preserve"> infections. Major agent for</w:t>
            </w:r>
            <w:r w:rsidR="00E50EB8" w:rsidRPr="00BD6C45">
              <w:rPr>
                <w:rFonts w:ascii="Arial Narrow" w:hAnsi="Arial Narrow" w:cs="Arial Narrow"/>
                <w:color w:val="000000"/>
                <w:sz w:val="21"/>
                <w:szCs w:val="21"/>
                <w:lang w:val="en-GB"/>
              </w:rPr>
              <w:t xml:space="preserve"> treatment and suppression of atypical mycobacterial infection</w:t>
            </w:r>
          </w:p>
        </w:tc>
        <w:tc>
          <w:tcPr>
            <w:cnfStyle w:val="000010000000" w:firstRow="0" w:lastRow="0" w:firstColumn="0" w:lastColumn="0" w:oddVBand="1" w:evenVBand="0" w:oddHBand="0" w:evenHBand="0" w:firstRowFirstColumn="0" w:firstRowLastColumn="0" w:lastRowFirstColumn="0" w:lastRowLastColumn="0"/>
            <w:tcW w:w="1560" w:type="dxa"/>
          </w:tcPr>
          <w:p w14:paraId="3B6AA5EE"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467B5B57"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38E8EFC4"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Clarithromycin</w:t>
            </w:r>
          </w:p>
        </w:tc>
        <w:tc>
          <w:tcPr>
            <w:tcW w:w="1278" w:type="dxa"/>
          </w:tcPr>
          <w:p w14:paraId="5B43023A"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34B9449C"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T2, R1</w:t>
            </w:r>
          </w:p>
        </w:tc>
        <w:tc>
          <w:tcPr>
            <w:tcW w:w="3544" w:type="dxa"/>
          </w:tcPr>
          <w:p w14:paraId="4289F0D5" w14:textId="15714BEE"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Treatment of minor Gram-positive infections. Major agent for</w:t>
            </w:r>
            <w:r w:rsidR="00E50EB8" w:rsidRPr="00BD6C45">
              <w:rPr>
                <w:rFonts w:ascii="Arial Narrow" w:hAnsi="Arial Narrow" w:cs="Arial Narrow"/>
                <w:color w:val="000000"/>
                <w:sz w:val="21"/>
                <w:szCs w:val="21"/>
                <w:lang w:val="en-GB"/>
              </w:rPr>
              <w:t xml:space="preserve"> treatment and suppression of atypical</w:t>
            </w:r>
            <w:r w:rsidR="002F0E76" w:rsidRPr="00BD6C45">
              <w:rPr>
                <w:rFonts w:ascii="Arial Narrow" w:hAnsi="Arial Narrow" w:cs="Arial Narrow"/>
                <w:color w:val="000000"/>
                <w:sz w:val="21"/>
                <w:szCs w:val="21"/>
                <w:lang w:val="en-GB"/>
              </w:rPr>
              <w:t xml:space="preserve"> mycobacterial infection </w:t>
            </w:r>
          </w:p>
        </w:tc>
        <w:tc>
          <w:tcPr>
            <w:cnfStyle w:val="000010000000" w:firstRow="0" w:lastRow="0" w:firstColumn="0" w:lastColumn="0" w:oddVBand="1" w:evenVBand="0" w:oddHBand="0" w:evenHBand="0" w:firstRowFirstColumn="0" w:firstRowLastColumn="0" w:lastRowFirstColumn="0" w:lastRowLastColumn="0"/>
            <w:tcW w:w="1560" w:type="dxa"/>
          </w:tcPr>
          <w:p w14:paraId="40E90541"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0644F3FC"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35973540" w14:textId="77777777" w:rsidR="00381D80" w:rsidRPr="00BD6C45" w:rsidRDefault="00321223"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Erythromycin, </w:t>
            </w:r>
            <w:r w:rsidR="00381D80" w:rsidRPr="00BD6C45">
              <w:rPr>
                <w:rFonts w:ascii="Arial Narrow" w:hAnsi="Arial Narrow" w:cs="Arial Narrow"/>
                <w:color w:val="000000"/>
                <w:sz w:val="21"/>
                <w:szCs w:val="21"/>
                <w:lang w:val="en-GB"/>
              </w:rPr>
              <w:t>roxithromycin</w:t>
            </w:r>
          </w:p>
        </w:tc>
        <w:tc>
          <w:tcPr>
            <w:tcW w:w="1278" w:type="dxa"/>
          </w:tcPr>
          <w:p w14:paraId="04E2A8A7"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066CBE54"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P1, T3, R1</w:t>
            </w:r>
          </w:p>
        </w:tc>
        <w:tc>
          <w:tcPr>
            <w:tcW w:w="3544" w:type="dxa"/>
          </w:tcPr>
          <w:p w14:paraId="14CE3DB6"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Treatment of minor Gram-positive, </w:t>
            </w:r>
            <w:r w:rsidRPr="00BD6C45">
              <w:rPr>
                <w:rFonts w:ascii="Arial Narrow" w:hAnsi="Arial Narrow" w:cs="Arial Narrow"/>
                <w:i/>
                <w:iCs/>
                <w:color w:val="000000"/>
                <w:sz w:val="21"/>
                <w:szCs w:val="21"/>
                <w:lang w:val="en-GB"/>
              </w:rPr>
              <w:t>Chlamydia</w:t>
            </w:r>
            <w:r w:rsidRPr="00BD6C45">
              <w:rPr>
                <w:rFonts w:ascii="Arial Narrow" w:hAnsi="Arial Narrow" w:cs="Arial Narrow"/>
                <w:color w:val="000000"/>
                <w:sz w:val="21"/>
                <w:szCs w:val="21"/>
                <w:lang w:val="en-GB"/>
              </w:rPr>
              <w:t xml:space="preserve"> and </w:t>
            </w:r>
            <w:r w:rsidR="00321223" w:rsidRPr="00BD6C45">
              <w:rPr>
                <w:rFonts w:ascii="Arial Narrow" w:hAnsi="Arial Narrow" w:cs="Arial Narrow"/>
                <w:i/>
                <w:iCs/>
                <w:color w:val="000000"/>
                <w:sz w:val="21"/>
                <w:szCs w:val="21"/>
                <w:lang w:val="en-GB"/>
              </w:rPr>
              <w:t>Mycoplasma</w:t>
            </w:r>
            <w:r w:rsidR="00321223" w:rsidRPr="00BD6C45">
              <w:rPr>
                <w:rFonts w:ascii="Arial Narrow" w:hAnsi="Arial Narrow" w:cs="Arial Narrow"/>
                <w:color w:val="000000"/>
                <w:sz w:val="21"/>
                <w:szCs w:val="21"/>
                <w:lang w:val="en-GB"/>
              </w:rPr>
              <w:t xml:space="preserve"> infections.</w:t>
            </w:r>
          </w:p>
        </w:tc>
        <w:tc>
          <w:tcPr>
            <w:cnfStyle w:val="000010000000" w:firstRow="0" w:lastRow="0" w:firstColumn="0" w:lastColumn="0" w:oddVBand="1" w:evenVBand="0" w:oddHBand="0" w:evenHBand="0" w:firstRowFirstColumn="0" w:firstRowLastColumn="0" w:lastRowFirstColumn="0" w:lastRowLastColumn="0"/>
            <w:tcW w:w="1560" w:type="dxa"/>
          </w:tcPr>
          <w:p w14:paraId="47223480"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r w:rsidRPr="00BD6C45">
              <w:rPr>
                <w:rFonts w:ascii="Arial Narrow" w:hAnsi="Arial Narrow" w:cs="Arial Narrow"/>
                <w:color w:val="000000"/>
                <w:sz w:val="21"/>
                <w:szCs w:val="21"/>
                <w:lang w:val="en-GB"/>
              </w:rPr>
              <w:br/>
              <w:t>(Erythromycin)</w:t>
            </w:r>
          </w:p>
        </w:tc>
      </w:tr>
      <w:tr w:rsidR="00381D80" w:rsidRPr="00BD6C45" w14:paraId="05092D61"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138E9977" w14:textId="3997F392" w:rsidR="00381D80" w:rsidRPr="00BD6C45" w:rsidRDefault="00381D80" w:rsidP="0087188A">
            <w:pPr>
              <w:pStyle w:val="Default1"/>
              <w:spacing w:line="276" w:lineRule="auto"/>
              <w:rPr>
                <w:rFonts w:ascii="Arial Narrow" w:hAnsi="Arial Narrow" w:cs="Arial Narrow"/>
                <w:bCs/>
                <w:color w:val="000000"/>
                <w:sz w:val="21"/>
                <w:szCs w:val="21"/>
                <w:lang w:val="en-GB"/>
              </w:rPr>
            </w:pPr>
            <w:r w:rsidRPr="00BD6C45">
              <w:rPr>
                <w:rFonts w:ascii="Arial Narrow" w:hAnsi="Arial Narrow" w:cs="Arial Narrow"/>
                <w:bCs/>
                <w:color w:val="000000"/>
                <w:sz w:val="21"/>
                <w:szCs w:val="21"/>
                <w:lang w:val="en-GB"/>
              </w:rPr>
              <w:t>Spiramycin</w:t>
            </w:r>
            <w:r w:rsidR="00F265B4" w:rsidRPr="00BD6C45">
              <w:rPr>
                <w:rFonts w:ascii="Arial Narrow" w:hAnsi="Arial Narrow" w:cs="Arial Narrow"/>
                <w:sz w:val="21"/>
                <w:szCs w:val="21"/>
                <w:vertAlign w:val="superscript"/>
                <w:lang w:val="en-GB"/>
              </w:rPr>
              <w:t>3</w:t>
            </w:r>
          </w:p>
        </w:tc>
        <w:tc>
          <w:tcPr>
            <w:tcW w:w="1278" w:type="dxa"/>
          </w:tcPr>
          <w:p w14:paraId="60A2189C"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Garamond"/>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45970338"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r w:rsidRPr="00BD6C45">
              <w:rPr>
                <w:rFonts w:ascii="Arial Narrow" w:hAnsi="Arial Narrow" w:cs="Garamond"/>
                <w:color w:val="000000"/>
                <w:sz w:val="21"/>
                <w:szCs w:val="21"/>
                <w:lang w:val="en-GB"/>
              </w:rPr>
              <w:t>P0,T1,R5</w:t>
            </w:r>
          </w:p>
        </w:tc>
        <w:tc>
          <w:tcPr>
            <w:tcW w:w="3544" w:type="dxa"/>
          </w:tcPr>
          <w:p w14:paraId="4D63606C"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Garamond"/>
                <w:color w:val="000000"/>
                <w:sz w:val="21"/>
                <w:szCs w:val="21"/>
                <w:lang w:val="en-GB"/>
              </w:rPr>
              <w:t>Treatment of toxoplasmosis in pregnancy</w:t>
            </w:r>
          </w:p>
        </w:tc>
        <w:tc>
          <w:tcPr>
            <w:cnfStyle w:val="000010000000" w:firstRow="0" w:lastRow="0" w:firstColumn="0" w:lastColumn="0" w:oddVBand="1" w:evenVBand="0" w:oddHBand="0" w:evenHBand="0" w:firstRowFirstColumn="0" w:firstRowLastColumn="0" w:lastRowFirstColumn="0" w:lastRowLastColumn="0"/>
            <w:tcW w:w="1560" w:type="dxa"/>
          </w:tcPr>
          <w:p w14:paraId="7876EA58"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r w:rsidRPr="00BD6C45">
              <w:rPr>
                <w:rFonts w:ascii="Arial Narrow" w:hAnsi="Arial Narrow" w:cs="Garamond"/>
                <w:color w:val="000000"/>
                <w:sz w:val="21"/>
                <w:szCs w:val="21"/>
                <w:lang w:val="en-GB"/>
              </w:rPr>
              <w:t>Yes</w:t>
            </w:r>
          </w:p>
        </w:tc>
      </w:tr>
      <w:tr w:rsidR="00381D80" w:rsidRPr="00BD6C45" w14:paraId="6EFE70AB"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7356643D"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Lincosamides</w:t>
            </w:r>
          </w:p>
        </w:tc>
        <w:tc>
          <w:tcPr>
            <w:tcW w:w="1278" w:type="dxa"/>
          </w:tcPr>
          <w:p w14:paraId="54506BB3"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2C408F77"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43CC8F1D"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199B1EEF"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338F9E44"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323532A7" w14:textId="77777777" w:rsidR="00381D80" w:rsidRPr="00BD6C45" w:rsidRDefault="00321223"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Clindamycin, </w:t>
            </w:r>
            <w:r w:rsidR="00381D80" w:rsidRPr="00BD6C45">
              <w:rPr>
                <w:rFonts w:ascii="Arial Narrow" w:hAnsi="Arial Narrow" w:cs="Arial Narrow"/>
                <w:color w:val="000000"/>
                <w:sz w:val="21"/>
                <w:szCs w:val="21"/>
                <w:lang w:val="en-GB"/>
              </w:rPr>
              <w:t>lincomycin</w:t>
            </w:r>
          </w:p>
        </w:tc>
        <w:tc>
          <w:tcPr>
            <w:tcW w:w="1278" w:type="dxa"/>
          </w:tcPr>
          <w:p w14:paraId="3DE5051D"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Medium</w:t>
            </w:r>
          </w:p>
        </w:tc>
        <w:tc>
          <w:tcPr>
            <w:cnfStyle w:val="000010000000" w:firstRow="0" w:lastRow="0" w:firstColumn="0" w:lastColumn="0" w:oddVBand="1" w:evenVBand="0" w:oddHBand="0" w:evenHBand="0" w:firstRowFirstColumn="0" w:firstRowLastColumn="0" w:lastRowFirstColumn="0" w:lastRowLastColumn="0"/>
            <w:tcW w:w="994" w:type="dxa"/>
          </w:tcPr>
          <w:p w14:paraId="1601F836"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P1, T3, R2</w:t>
            </w:r>
          </w:p>
        </w:tc>
        <w:tc>
          <w:tcPr>
            <w:tcW w:w="3544" w:type="dxa"/>
          </w:tcPr>
          <w:p w14:paraId="2EC90AF4" w14:textId="77777777" w:rsidR="00381D80" w:rsidRPr="00ED78C3"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Reserved for Gram-positive and anaerobic infections in </w:t>
            </w:r>
            <w:r w:rsidR="00321223" w:rsidRPr="00BD6C45">
              <w:rPr>
                <w:rFonts w:ascii="Arial Narrow" w:hAnsi="Arial Narrow" w:cs="Arial Narrow"/>
                <w:color w:val="000000"/>
                <w:sz w:val="21"/>
                <w:szCs w:val="21"/>
                <w:lang w:val="en-GB"/>
              </w:rPr>
              <w:t xml:space="preserve">penicillin-allergic </w:t>
            </w:r>
            <w:r w:rsidR="00321223" w:rsidRPr="00ED78C3">
              <w:rPr>
                <w:rFonts w:ascii="Arial Narrow" w:hAnsi="Arial Narrow" w:cs="Arial Narrow"/>
                <w:color w:val="000000"/>
                <w:sz w:val="21"/>
                <w:szCs w:val="21"/>
                <w:lang w:val="en-GB"/>
              </w:rPr>
              <w:t>patients.</w:t>
            </w:r>
          </w:p>
          <w:p w14:paraId="649BFED1" w14:textId="71B6043C" w:rsidR="00ED78C3" w:rsidRPr="00ED78C3" w:rsidRDefault="00ED78C3" w:rsidP="00ED78C3">
            <w:pPr>
              <w:pStyle w:val="Default"/>
              <w:cnfStyle w:val="000000100000" w:firstRow="0" w:lastRow="0" w:firstColumn="0" w:lastColumn="0" w:oddVBand="0" w:evenVBand="0" w:oddHBand="1" w:evenHBand="0" w:firstRowFirstColumn="0" w:firstRowLastColumn="0" w:lastRowFirstColumn="0" w:lastRowLastColumn="0"/>
              <w:rPr>
                <w:lang w:val="en-GB"/>
              </w:rPr>
            </w:pPr>
            <w:r w:rsidRPr="00ED78C3">
              <w:rPr>
                <w:rFonts w:ascii="Arial Narrow" w:hAnsi="Arial Narrow"/>
                <w:sz w:val="21"/>
                <w:szCs w:val="21"/>
                <w:lang w:val="en-GB"/>
              </w:rPr>
              <w:t>Clindamycin topical used for acne</w:t>
            </w:r>
          </w:p>
        </w:tc>
        <w:tc>
          <w:tcPr>
            <w:cnfStyle w:val="000010000000" w:firstRow="0" w:lastRow="0" w:firstColumn="0" w:lastColumn="0" w:oddVBand="1" w:evenVBand="0" w:oddHBand="0" w:evenHBand="0" w:firstRowFirstColumn="0" w:firstRowLastColumn="0" w:lastRowFirstColumn="0" w:lastRowLastColumn="0"/>
            <w:tcW w:w="1560" w:type="dxa"/>
          </w:tcPr>
          <w:p w14:paraId="4F8B718A"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Garamond"/>
                <w:color w:val="000000"/>
                <w:sz w:val="21"/>
                <w:szCs w:val="21"/>
                <w:lang w:val="en-GB"/>
              </w:rPr>
              <w:t>Yes</w:t>
            </w:r>
          </w:p>
        </w:tc>
      </w:tr>
      <w:tr w:rsidR="00381D80" w:rsidRPr="00BD6C45" w14:paraId="594E555F"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08D78516"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Streptogramins</w:t>
            </w:r>
          </w:p>
        </w:tc>
        <w:tc>
          <w:tcPr>
            <w:tcW w:w="1278" w:type="dxa"/>
          </w:tcPr>
          <w:p w14:paraId="4F195A5C"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1AAC4C32"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5EF3ECA9"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4ECAE8B5"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1B2118DE" w14:textId="77777777" w:rsidTr="00FF315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Borders>
              <w:bottom w:val="nil"/>
            </w:tcBorders>
          </w:tcPr>
          <w:p w14:paraId="2D2E13C0" w14:textId="5122D1A9" w:rsidR="00381D80" w:rsidRPr="00BD6C45" w:rsidRDefault="004257AB" w:rsidP="0087188A">
            <w:pPr>
              <w:pStyle w:val="Default1"/>
              <w:spacing w:line="276" w:lineRule="auto"/>
              <w:rPr>
                <w:rFonts w:ascii="Arial Narrow" w:hAnsi="Arial Narrow" w:cs="Arial Narrow"/>
                <w:sz w:val="21"/>
                <w:szCs w:val="21"/>
                <w:lang w:val="en-GB"/>
              </w:rPr>
            </w:pPr>
            <w:r w:rsidRPr="00BD6C45">
              <w:rPr>
                <w:rFonts w:ascii="Arial Narrow" w:hAnsi="Arial Narrow" w:cs="Arial Narrow"/>
                <w:sz w:val="21"/>
                <w:szCs w:val="21"/>
                <w:lang w:val="en-GB"/>
              </w:rPr>
              <w:t xml:space="preserve">Quinupristin with </w:t>
            </w:r>
            <w:r w:rsidR="00381D80" w:rsidRPr="00BD6C45">
              <w:rPr>
                <w:rFonts w:ascii="Arial Narrow" w:hAnsi="Arial Narrow" w:cs="Arial Narrow"/>
                <w:sz w:val="21"/>
                <w:szCs w:val="21"/>
                <w:lang w:val="en-GB"/>
              </w:rPr>
              <w:t>dalfopristin</w:t>
            </w:r>
            <w:r w:rsidR="00F265B4" w:rsidRPr="00BD6C45">
              <w:rPr>
                <w:rFonts w:ascii="Arial Narrow" w:hAnsi="Arial Narrow" w:cs="Arial Narrow"/>
                <w:sz w:val="21"/>
                <w:szCs w:val="21"/>
                <w:vertAlign w:val="superscript"/>
                <w:lang w:val="en-GB"/>
              </w:rPr>
              <w:t>3</w:t>
            </w:r>
          </w:p>
        </w:tc>
        <w:tc>
          <w:tcPr>
            <w:tcW w:w="1278" w:type="dxa"/>
            <w:tcBorders>
              <w:bottom w:val="nil"/>
            </w:tcBorders>
          </w:tcPr>
          <w:p w14:paraId="5BB8785A"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Borders>
              <w:bottom w:val="nil"/>
            </w:tcBorders>
          </w:tcPr>
          <w:p w14:paraId="4EEDF919"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T1, R4</w:t>
            </w:r>
          </w:p>
        </w:tc>
        <w:tc>
          <w:tcPr>
            <w:tcW w:w="3544" w:type="dxa"/>
            <w:tcBorders>
              <w:bottom w:val="nil"/>
            </w:tcBorders>
          </w:tcPr>
          <w:p w14:paraId="1A7A1D36" w14:textId="72A09DF6"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Reserve agent for multi-resistant Gram-positive infections (MRSA</w:t>
            </w:r>
            <w:r w:rsidR="00E50EB8" w:rsidRPr="00BD6C45">
              <w:rPr>
                <w:rFonts w:ascii="Arial Narrow" w:hAnsi="Arial Narrow" w:cs="Arial Narrow"/>
                <w:color w:val="000000"/>
                <w:sz w:val="21"/>
                <w:szCs w:val="21"/>
                <w:lang w:val="en-GB"/>
              </w:rPr>
              <w:t xml:space="preserve"> and vancomycin-resistant</w:t>
            </w:r>
            <w:r w:rsidR="00FF315B">
              <w:rPr>
                <w:rFonts w:ascii="Arial Narrow" w:hAnsi="Arial Narrow" w:cs="Arial Narrow"/>
                <w:color w:val="000000"/>
                <w:sz w:val="21"/>
                <w:szCs w:val="21"/>
                <w:lang w:val="en-GB"/>
              </w:rPr>
              <w:t xml:space="preserve"> </w:t>
            </w:r>
            <w:r w:rsidR="00FF315B" w:rsidRPr="00BD6C45">
              <w:rPr>
                <w:rFonts w:ascii="Arial Narrow" w:hAnsi="Arial Narrow" w:cs="Arial Narrow"/>
                <w:i/>
                <w:iCs/>
                <w:color w:val="000000"/>
                <w:sz w:val="21"/>
                <w:szCs w:val="21"/>
                <w:lang w:val="en-GB"/>
              </w:rPr>
              <w:t>Enterococcus faecium</w:t>
            </w:r>
            <w:r w:rsidR="00FF315B" w:rsidRPr="00BD6C45">
              <w:rPr>
                <w:rFonts w:ascii="Arial Narrow" w:hAnsi="Arial Narrow" w:cs="Arial Narrow"/>
                <w:color w:val="000000"/>
                <w:sz w:val="21"/>
                <w:szCs w:val="21"/>
                <w:lang w:val="en-GB"/>
              </w:rPr>
              <w:t>)</w:t>
            </w:r>
          </w:p>
        </w:tc>
        <w:tc>
          <w:tcPr>
            <w:cnfStyle w:val="000010000000" w:firstRow="0" w:lastRow="0" w:firstColumn="0" w:lastColumn="0" w:oddVBand="1" w:evenVBand="0" w:oddHBand="0" w:evenHBand="0" w:firstRowFirstColumn="0" w:firstRowLastColumn="0" w:lastRowFirstColumn="0" w:lastRowLastColumn="0"/>
            <w:tcW w:w="1560" w:type="dxa"/>
            <w:tcBorders>
              <w:bottom w:val="nil"/>
            </w:tcBorders>
          </w:tcPr>
          <w:p w14:paraId="59BF4E06"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1652D492" w14:textId="77777777" w:rsidTr="00FF315B">
        <w:trPr>
          <w:trHeight w:val="255"/>
        </w:trPr>
        <w:tc>
          <w:tcPr>
            <w:cnfStyle w:val="000010000000" w:firstRow="0" w:lastRow="0" w:firstColumn="0" w:lastColumn="0" w:oddVBand="1" w:evenVBand="0" w:oddHBand="0" w:evenHBand="0" w:firstRowFirstColumn="0" w:firstRowLastColumn="0" w:lastRowFirstColumn="0" w:lastRowLastColumn="0"/>
            <w:tcW w:w="2797" w:type="dxa"/>
            <w:tcBorders>
              <w:top w:val="single" w:sz="8" w:space="0" w:color="4BACC6" w:themeColor="accent5"/>
            </w:tcBorders>
          </w:tcPr>
          <w:p w14:paraId="43DED24D" w14:textId="7C30CB5A" w:rsidR="00381D80" w:rsidRPr="00BD6C45" w:rsidRDefault="00381D80" w:rsidP="0087188A">
            <w:pPr>
              <w:pStyle w:val="Default1"/>
              <w:spacing w:line="276" w:lineRule="auto"/>
              <w:rPr>
                <w:rFonts w:ascii="Arial Narrow" w:hAnsi="Arial Narrow" w:cs="Arial Narrow"/>
                <w:bCs/>
                <w:color w:val="000000"/>
                <w:sz w:val="21"/>
                <w:szCs w:val="21"/>
                <w:lang w:val="en-GB"/>
              </w:rPr>
            </w:pPr>
            <w:r w:rsidRPr="00BD6C45">
              <w:rPr>
                <w:rFonts w:ascii="Arial Narrow" w:hAnsi="Arial Narrow" w:cs="Arial Narrow"/>
                <w:bCs/>
                <w:color w:val="000000"/>
                <w:sz w:val="21"/>
                <w:szCs w:val="21"/>
                <w:lang w:val="en-GB"/>
              </w:rPr>
              <w:t>Pristinamycin</w:t>
            </w:r>
            <w:r w:rsidR="00F265B4" w:rsidRPr="00BD6C45">
              <w:rPr>
                <w:rFonts w:ascii="Arial Narrow" w:hAnsi="Arial Narrow" w:cs="Arial Narrow"/>
                <w:sz w:val="21"/>
                <w:szCs w:val="21"/>
                <w:vertAlign w:val="superscript"/>
                <w:lang w:val="en-GB"/>
              </w:rPr>
              <w:t>3</w:t>
            </w:r>
          </w:p>
        </w:tc>
        <w:tc>
          <w:tcPr>
            <w:tcW w:w="1278" w:type="dxa"/>
            <w:tcBorders>
              <w:top w:val="single" w:sz="8" w:space="0" w:color="4BACC6" w:themeColor="accent5"/>
            </w:tcBorders>
          </w:tcPr>
          <w:p w14:paraId="5636A0A0"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Borders>
              <w:top w:val="single" w:sz="8" w:space="0" w:color="4BACC6" w:themeColor="accent5"/>
            </w:tcBorders>
          </w:tcPr>
          <w:p w14:paraId="08BCED00"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t>P0, T1, R5</w:t>
            </w:r>
          </w:p>
        </w:tc>
        <w:tc>
          <w:tcPr>
            <w:tcW w:w="3544" w:type="dxa"/>
            <w:tcBorders>
              <w:top w:val="single" w:sz="8" w:space="0" w:color="4BACC6" w:themeColor="accent5"/>
            </w:tcBorders>
          </w:tcPr>
          <w:p w14:paraId="52DCC86E"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Garamond"/>
                <w:color w:val="000000"/>
                <w:sz w:val="21"/>
                <w:szCs w:val="21"/>
                <w:lang w:val="en-GB"/>
              </w:rPr>
              <w:t>As for quinupristin-dalfopristin</w:t>
            </w:r>
          </w:p>
        </w:tc>
        <w:tc>
          <w:tcPr>
            <w:cnfStyle w:val="000010000000" w:firstRow="0" w:lastRow="0" w:firstColumn="0" w:lastColumn="0" w:oddVBand="1" w:evenVBand="0" w:oddHBand="0" w:evenHBand="0" w:firstRowFirstColumn="0" w:firstRowLastColumn="0" w:lastRowFirstColumn="0" w:lastRowLastColumn="0"/>
            <w:tcW w:w="1560" w:type="dxa"/>
            <w:tcBorders>
              <w:top w:val="single" w:sz="8" w:space="0" w:color="4BACC6" w:themeColor="accent5"/>
            </w:tcBorders>
          </w:tcPr>
          <w:p w14:paraId="7B01FCF9"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4295427C"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6B5068FA"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Nitroimidazoles</w:t>
            </w:r>
          </w:p>
        </w:tc>
        <w:tc>
          <w:tcPr>
            <w:tcW w:w="1278" w:type="dxa"/>
          </w:tcPr>
          <w:p w14:paraId="06D823C1"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2CE04A01"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3383C641"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615986CD"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1229B505" w14:textId="77777777" w:rsidTr="00ED78C3">
        <w:trPr>
          <w:trHeight w:val="251"/>
        </w:trPr>
        <w:tc>
          <w:tcPr>
            <w:cnfStyle w:val="000010000000" w:firstRow="0" w:lastRow="0" w:firstColumn="0" w:lastColumn="0" w:oddVBand="1" w:evenVBand="0" w:oddHBand="0" w:evenHBand="0" w:firstRowFirstColumn="0" w:firstRowLastColumn="0" w:lastRowFirstColumn="0" w:lastRowLastColumn="0"/>
            <w:tcW w:w="2797" w:type="dxa"/>
            <w:tcBorders>
              <w:bottom w:val="nil"/>
            </w:tcBorders>
          </w:tcPr>
          <w:p w14:paraId="73246AFB" w14:textId="77777777" w:rsidR="00381D80" w:rsidRPr="00BD6C45" w:rsidRDefault="004257AB"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Metronidazole, </w:t>
            </w:r>
            <w:r w:rsidR="00381D80" w:rsidRPr="00BD6C45">
              <w:rPr>
                <w:rFonts w:ascii="Arial Narrow" w:hAnsi="Arial Narrow" w:cs="Arial Narrow"/>
                <w:color w:val="000000"/>
                <w:sz w:val="21"/>
                <w:szCs w:val="21"/>
                <w:lang w:val="en-GB"/>
              </w:rPr>
              <w:t>tinidazole</w:t>
            </w:r>
          </w:p>
        </w:tc>
        <w:tc>
          <w:tcPr>
            <w:tcW w:w="1278" w:type="dxa"/>
            <w:tcBorders>
              <w:bottom w:val="nil"/>
            </w:tcBorders>
          </w:tcPr>
          <w:p w14:paraId="57291A84"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Medium</w:t>
            </w:r>
          </w:p>
        </w:tc>
        <w:tc>
          <w:tcPr>
            <w:cnfStyle w:val="000010000000" w:firstRow="0" w:lastRow="0" w:firstColumn="0" w:lastColumn="0" w:oddVBand="1" w:evenVBand="0" w:oddHBand="0" w:evenHBand="0" w:firstRowFirstColumn="0" w:firstRowLastColumn="0" w:lastRowFirstColumn="0" w:lastRowLastColumn="0"/>
            <w:tcW w:w="994" w:type="dxa"/>
            <w:tcBorders>
              <w:bottom w:val="nil"/>
            </w:tcBorders>
          </w:tcPr>
          <w:p w14:paraId="5EEB1331"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R1</w:t>
            </w:r>
          </w:p>
        </w:tc>
        <w:tc>
          <w:tcPr>
            <w:tcW w:w="3544" w:type="dxa"/>
            <w:tcBorders>
              <w:bottom w:val="nil"/>
            </w:tcBorders>
          </w:tcPr>
          <w:p w14:paraId="7B4C2573"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Major agents for the treatment and prevention of anaerobic</w:t>
            </w:r>
            <w:r w:rsidR="004257AB" w:rsidRPr="00BD6C45">
              <w:rPr>
                <w:rFonts w:ascii="Arial Narrow" w:hAnsi="Arial Narrow" w:cs="Arial Narrow"/>
                <w:color w:val="000000"/>
                <w:sz w:val="21"/>
                <w:szCs w:val="21"/>
                <w:lang w:val="en-GB"/>
              </w:rPr>
              <w:t xml:space="preserve"> infections in hospitals.</w:t>
            </w:r>
          </w:p>
        </w:tc>
        <w:tc>
          <w:tcPr>
            <w:cnfStyle w:val="000010000000" w:firstRow="0" w:lastRow="0" w:firstColumn="0" w:lastColumn="0" w:oddVBand="1" w:evenVBand="0" w:oddHBand="0" w:evenHBand="0" w:firstRowFirstColumn="0" w:firstRowLastColumn="0" w:lastRowFirstColumn="0" w:lastRowLastColumn="0"/>
            <w:tcW w:w="1560" w:type="dxa"/>
            <w:tcBorders>
              <w:bottom w:val="nil"/>
            </w:tcBorders>
          </w:tcPr>
          <w:p w14:paraId="3345A723"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Garamond"/>
                <w:color w:val="000000"/>
                <w:sz w:val="21"/>
                <w:szCs w:val="21"/>
                <w:lang w:val="en-GB"/>
              </w:rPr>
              <w:t>Yes</w:t>
            </w:r>
            <w:r w:rsidRPr="00BD6C45">
              <w:rPr>
                <w:rFonts w:ascii="Arial Narrow" w:hAnsi="Arial Narrow" w:cs="Garamond"/>
                <w:color w:val="000000"/>
                <w:sz w:val="21"/>
                <w:szCs w:val="21"/>
                <w:lang w:val="en-GB"/>
              </w:rPr>
              <w:br/>
              <w:t>(Metronidazole)</w:t>
            </w:r>
          </w:p>
        </w:tc>
      </w:tr>
      <w:tr w:rsidR="00381D80" w:rsidRPr="00BD6C45" w14:paraId="5BD6E326" w14:textId="77777777" w:rsidTr="00ED78C3">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Borders>
              <w:top w:val="nil"/>
            </w:tcBorders>
          </w:tcPr>
          <w:p w14:paraId="65124958" w14:textId="77777777" w:rsidR="00381D80" w:rsidRPr="00BD6C45" w:rsidRDefault="00381D80" w:rsidP="0087188A">
            <w:pPr>
              <w:pStyle w:val="Default1"/>
              <w:spacing w:line="276" w:lineRule="auto"/>
              <w:rPr>
                <w:rFonts w:ascii="Arial Narrow" w:hAnsi="Arial Narrow" w:cs="Garamond"/>
                <w:color w:val="000000"/>
                <w:sz w:val="21"/>
                <w:szCs w:val="21"/>
                <w:lang w:val="en-GB"/>
              </w:rPr>
            </w:pPr>
          </w:p>
        </w:tc>
        <w:tc>
          <w:tcPr>
            <w:tcW w:w="1278" w:type="dxa"/>
            <w:tcBorders>
              <w:top w:val="nil"/>
            </w:tcBorders>
          </w:tcPr>
          <w:p w14:paraId="0994AE95"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Borders>
              <w:top w:val="nil"/>
            </w:tcBorders>
          </w:tcPr>
          <w:p w14:paraId="27FA360A"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Borders>
              <w:top w:val="nil"/>
            </w:tcBorders>
          </w:tcPr>
          <w:p w14:paraId="44F7E20B"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Principal agents for the treatment o</w:t>
            </w:r>
            <w:r w:rsidR="004257AB" w:rsidRPr="00BD6C45">
              <w:rPr>
                <w:rFonts w:ascii="Arial Narrow" w:hAnsi="Arial Narrow" w:cs="Arial Narrow"/>
                <w:color w:val="000000"/>
                <w:sz w:val="21"/>
                <w:szCs w:val="21"/>
                <w:lang w:val="en-GB"/>
              </w:rPr>
              <w:t>f giardiasis and trichomoniasis</w:t>
            </w:r>
          </w:p>
        </w:tc>
        <w:tc>
          <w:tcPr>
            <w:cnfStyle w:val="000010000000" w:firstRow="0" w:lastRow="0" w:firstColumn="0" w:lastColumn="0" w:oddVBand="1" w:evenVBand="0" w:oddHBand="0" w:evenHBand="0" w:firstRowFirstColumn="0" w:firstRowLastColumn="0" w:lastRowFirstColumn="0" w:lastRowLastColumn="0"/>
            <w:tcW w:w="1560" w:type="dxa"/>
            <w:tcBorders>
              <w:top w:val="nil"/>
            </w:tcBorders>
          </w:tcPr>
          <w:p w14:paraId="74A7939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27C15D3B"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2F9B52F2"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Quinolones</w:t>
            </w:r>
          </w:p>
        </w:tc>
        <w:tc>
          <w:tcPr>
            <w:tcW w:w="1278" w:type="dxa"/>
          </w:tcPr>
          <w:p w14:paraId="74C9E3A1"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002E8FE7"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15534080"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35DE2F17"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2CFA0CFD"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40225E40"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Norfloxacin</w:t>
            </w:r>
          </w:p>
        </w:tc>
        <w:tc>
          <w:tcPr>
            <w:tcW w:w="1278" w:type="dxa"/>
          </w:tcPr>
          <w:p w14:paraId="01869179"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228788BB"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P1, T3, R2</w:t>
            </w:r>
          </w:p>
        </w:tc>
        <w:tc>
          <w:tcPr>
            <w:tcW w:w="3544" w:type="dxa"/>
          </w:tcPr>
          <w:p w14:paraId="44952322"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Treatment and prevention of complicated UTI</w:t>
            </w:r>
          </w:p>
        </w:tc>
        <w:tc>
          <w:tcPr>
            <w:cnfStyle w:val="000010000000" w:firstRow="0" w:lastRow="0" w:firstColumn="0" w:lastColumn="0" w:oddVBand="1" w:evenVBand="0" w:oddHBand="0" w:evenHBand="0" w:firstRowFirstColumn="0" w:firstRowLastColumn="0" w:lastRowFirstColumn="0" w:lastRowLastColumn="0"/>
            <w:tcW w:w="1560" w:type="dxa"/>
          </w:tcPr>
          <w:p w14:paraId="2871B358"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684F9495"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0FD10D78"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Ciprofloxacin</w:t>
            </w:r>
          </w:p>
        </w:tc>
        <w:tc>
          <w:tcPr>
            <w:tcW w:w="1278" w:type="dxa"/>
          </w:tcPr>
          <w:p w14:paraId="61FE79FA"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7A9A4D4C"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R3</w:t>
            </w:r>
          </w:p>
        </w:tc>
        <w:tc>
          <w:tcPr>
            <w:tcW w:w="3544" w:type="dxa"/>
          </w:tcPr>
          <w:p w14:paraId="0C9468E1" w14:textId="14962411"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Major oral agent for the treatment of Gram-negative infections</w:t>
            </w:r>
            <w:r w:rsidR="00990633" w:rsidRPr="00BD6C45">
              <w:rPr>
                <w:rFonts w:ascii="Arial Narrow" w:hAnsi="Arial Narrow" w:cs="Arial Narrow"/>
                <w:color w:val="000000"/>
                <w:sz w:val="21"/>
                <w:szCs w:val="21"/>
                <w:lang w:val="en-GB"/>
              </w:rPr>
              <w:t xml:space="preserve"> resistant to other agents. Minor role in</w:t>
            </w:r>
            <w:r w:rsidR="007A1AE5" w:rsidRPr="00BD6C45">
              <w:rPr>
                <w:rFonts w:ascii="Arial Narrow" w:hAnsi="Arial Narrow" w:cs="Arial Narrow"/>
                <w:color w:val="000000"/>
                <w:sz w:val="21"/>
                <w:szCs w:val="21"/>
                <w:lang w:val="en-GB"/>
              </w:rPr>
              <w:t xml:space="preserve"> Meningococcal prophylaxis</w:t>
            </w:r>
          </w:p>
        </w:tc>
        <w:tc>
          <w:tcPr>
            <w:cnfStyle w:val="000010000000" w:firstRow="0" w:lastRow="0" w:firstColumn="0" w:lastColumn="0" w:oddVBand="1" w:evenVBand="0" w:oddHBand="0" w:evenHBand="0" w:firstRowFirstColumn="0" w:firstRowLastColumn="0" w:lastRowFirstColumn="0" w:lastRowLastColumn="0"/>
            <w:tcW w:w="1560" w:type="dxa"/>
          </w:tcPr>
          <w:p w14:paraId="3488346A"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546BBBB4"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0A629E82"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Moxifloxacin</w:t>
            </w:r>
          </w:p>
        </w:tc>
        <w:tc>
          <w:tcPr>
            <w:tcW w:w="1278" w:type="dxa"/>
          </w:tcPr>
          <w:p w14:paraId="04678DD0"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13B81AF7"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T3, R4</w:t>
            </w:r>
          </w:p>
        </w:tc>
        <w:tc>
          <w:tcPr>
            <w:tcW w:w="3544" w:type="dxa"/>
          </w:tcPr>
          <w:p w14:paraId="18EF2443" w14:textId="35EC328D"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Restricted role in the management of serious respiratory infections,</w:t>
            </w:r>
            <w:r w:rsidR="00990633" w:rsidRPr="00BD6C45">
              <w:rPr>
                <w:rFonts w:ascii="Arial Narrow" w:hAnsi="Arial Narrow" w:cs="Arial Narrow"/>
                <w:color w:val="000000"/>
                <w:sz w:val="21"/>
                <w:szCs w:val="21"/>
                <w:lang w:val="en-GB"/>
              </w:rPr>
              <w:t xml:space="preserve"> especially pneumonia in patients with severe penicillin allergy</w:t>
            </w:r>
          </w:p>
        </w:tc>
        <w:tc>
          <w:tcPr>
            <w:cnfStyle w:val="000010000000" w:firstRow="0" w:lastRow="0" w:firstColumn="0" w:lastColumn="0" w:oddVBand="1" w:evenVBand="0" w:oddHBand="0" w:evenHBand="0" w:firstRowFirstColumn="0" w:firstRowLastColumn="0" w:lastRowFirstColumn="0" w:lastRowLastColumn="0"/>
            <w:tcW w:w="1560" w:type="dxa"/>
          </w:tcPr>
          <w:p w14:paraId="294EF077"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1E642D6E"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16B93441"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lastRenderedPageBreak/>
              <w:t>Ofloxacin</w:t>
            </w:r>
          </w:p>
        </w:tc>
        <w:tc>
          <w:tcPr>
            <w:tcW w:w="1278" w:type="dxa"/>
          </w:tcPr>
          <w:p w14:paraId="5A166E0A"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298859F7"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t>P0, T2, R3</w:t>
            </w:r>
          </w:p>
        </w:tc>
        <w:tc>
          <w:tcPr>
            <w:tcW w:w="3544" w:type="dxa"/>
          </w:tcPr>
          <w:p w14:paraId="6EF01485"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t>Topical treatment of severe eye infections</w:t>
            </w:r>
          </w:p>
        </w:tc>
        <w:tc>
          <w:tcPr>
            <w:cnfStyle w:val="000010000000" w:firstRow="0" w:lastRow="0" w:firstColumn="0" w:lastColumn="0" w:oddVBand="1" w:evenVBand="0" w:oddHBand="0" w:evenHBand="0" w:firstRowFirstColumn="0" w:firstRowLastColumn="0" w:lastRowFirstColumn="0" w:lastRowLastColumn="0"/>
            <w:tcW w:w="1560" w:type="dxa"/>
          </w:tcPr>
          <w:p w14:paraId="0B503093"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5741CC" w:rsidRPr="00BD6C45" w14:paraId="7218A476"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042F8704" w14:textId="7A5A7C85" w:rsidR="005741CC" w:rsidRPr="00BD6C45" w:rsidRDefault="005741CC" w:rsidP="0087188A">
            <w:pPr>
              <w:pStyle w:val="Default1"/>
              <w:spacing w:line="276" w:lineRule="auto"/>
              <w:rPr>
                <w:rFonts w:ascii="Arial Narrow" w:hAnsi="Arial Narrow" w:cs="Arial Narrow"/>
                <w:bCs/>
                <w:color w:val="000000"/>
                <w:sz w:val="21"/>
                <w:szCs w:val="21"/>
                <w:lang w:val="en-GB"/>
              </w:rPr>
            </w:pPr>
            <w:r w:rsidRPr="00BD6C45">
              <w:rPr>
                <w:rFonts w:ascii="Arial Narrow" w:hAnsi="Arial Narrow" w:cs="Arial Narrow"/>
                <w:bCs/>
                <w:color w:val="000000"/>
                <w:sz w:val="21"/>
                <w:szCs w:val="21"/>
                <w:lang w:val="en-GB"/>
              </w:rPr>
              <w:t>Levofloxacin</w:t>
            </w:r>
            <w:r w:rsidR="00F265B4" w:rsidRPr="00BD6C45">
              <w:rPr>
                <w:rFonts w:ascii="Arial Narrow" w:hAnsi="Arial Narrow" w:cs="Arial Narrow"/>
                <w:sz w:val="21"/>
                <w:szCs w:val="21"/>
                <w:vertAlign w:val="superscript"/>
                <w:lang w:val="en-GB"/>
              </w:rPr>
              <w:t>3</w:t>
            </w:r>
          </w:p>
        </w:tc>
        <w:tc>
          <w:tcPr>
            <w:tcW w:w="1278" w:type="dxa"/>
          </w:tcPr>
          <w:p w14:paraId="2E5B64D1" w14:textId="77777777" w:rsidR="005741CC" w:rsidRPr="00BD6C45" w:rsidRDefault="005741CC"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Garamond"/>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033780E5" w14:textId="5C63DB0A" w:rsidR="005741CC" w:rsidRPr="00BD6C45" w:rsidRDefault="005741CC" w:rsidP="0087188A">
            <w:pPr>
              <w:pStyle w:val="Default1"/>
              <w:spacing w:line="276" w:lineRule="auto"/>
              <w:jc w:val="center"/>
              <w:rPr>
                <w:rFonts w:ascii="Arial Narrow" w:hAnsi="Arial Narrow" w:cs="Garamond"/>
                <w:color w:val="000000"/>
                <w:sz w:val="21"/>
                <w:szCs w:val="21"/>
                <w:lang w:val="en-GB"/>
              </w:rPr>
            </w:pPr>
            <w:r w:rsidRPr="00BD6C45">
              <w:rPr>
                <w:rFonts w:ascii="Arial Narrow" w:hAnsi="Arial Narrow" w:cs="Garamond"/>
                <w:color w:val="000000"/>
                <w:sz w:val="21"/>
                <w:szCs w:val="21"/>
                <w:lang w:val="en-GB"/>
              </w:rPr>
              <w:t>P0, T1, R</w:t>
            </w:r>
            <w:r w:rsidR="005E6BD6" w:rsidRPr="00BD6C45">
              <w:rPr>
                <w:rFonts w:ascii="Arial Narrow" w:hAnsi="Arial Narrow" w:cs="Garamond"/>
                <w:color w:val="000000"/>
                <w:sz w:val="21"/>
                <w:szCs w:val="21"/>
                <w:lang w:val="en-GB"/>
              </w:rPr>
              <w:t>5</w:t>
            </w:r>
          </w:p>
        </w:tc>
        <w:tc>
          <w:tcPr>
            <w:tcW w:w="3544" w:type="dxa"/>
          </w:tcPr>
          <w:p w14:paraId="035871F0" w14:textId="77777777" w:rsidR="005741CC" w:rsidRPr="00BD6C45" w:rsidRDefault="005741CC"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Garamond"/>
                <w:color w:val="000000"/>
                <w:sz w:val="21"/>
                <w:szCs w:val="21"/>
                <w:lang w:val="en-GB"/>
              </w:rPr>
              <w:t xml:space="preserve">Reserve treatment for </w:t>
            </w:r>
            <w:r w:rsidRPr="00BD6C45">
              <w:rPr>
                <w:rFonts w:ascii="Arial Narrow" w:hAnsi="Arial Narrow" w:cs="Garamond"/>
                <w:i/>
                <w:color w:val="000000"/>
                <w:sz w:val="21"/>
                <w:szCs w:val="21"/>
                <w:lang w:val="en-GB"/>
              </w:rPr>
              <w:t>Helicobacter pylori</w:t>
            </w:r>
            <w:r w:rsidRPr="00BD6C45">
              <w:rPr>
                <w:rFonts w:ascii="Arial Narrow" w:hAnsi="Arial Narrow" w:cs="Garamond"/>
                <w:color w:val="000000"/>
                <w:sz w:val="21"/>
                <w:szCs w:val="21"/>
                <w:lang w:val="en-GB"/>
              </w:rPr>
              <w:t xml:space="preserve"> infection</w:t>
            </w:r>
          </w:p>
        </w:tc>
        <w:tc>
          <w:tcPr>
            <w:cnfStyle w:val="000010000000" w:firstRow="0" w:lastRow="0" w:firstColumn="0" w:lastColumn="0" w:oddVBand="1" w:evenVBand="0" w:oddHBand="0" w:evenHBand="0" w:firstRowFirstColumn="0" w:firstRowLastColumn="0" w:lastRowFirstColumn="0" w:lastRowLastColumn="0"/>
            <w:tcW w:w="1560" w:type="dxa"/>
          </w:tcPr>
          <w:p w14:paraId="7317C620" w14:textId="77777777" w:rsidR="005741CC" w:rsidRPr="00BD6C45" w:rsidRDefault="005741CC" w:rsidP="0087188A">
            <w:pPr>
              <w:pStyle w:val="Default1"/>
              <w:spacing w:line="276" w:lineRule="auto"/>
              <w:jc w:val="center"/>
              <w:rPr>
                <w:rFonts w:ascii="Arial Narrow" w:hAnsi="Arial Narrow" w:cs="Garamond"/>
                <w:color w:val="000000"/>
                <w:sz w:val="21"/>
                <w:szCs w:val="21"/>
                <w:lang w:val="en-GB"/>
              </w:rPr>
            </w:pPr>
          </w:p>
        </w:tc>
      </w:tr>
      <w:tr w:rsidR="00381D80" w:rsidRPr="00BD6C45" w14:paraId="3A28FA5B"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7BE25A53"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Antimycobacterials</w:t>
            </w:r>
          </w:p>
        </w:tc>
        <w:tc>
          <w:tcPr>
            <w:tcW w:w="1278" w:type="dxa"/>
          </w:tcPr>
          <w:p w14:paraId="35B02AAC"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4261E086"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3FEF5EEE"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5D1999AA"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4C80F3DE"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5119489A"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Isoniazid</w:t>
            </w:r>
          </w:p>
        </w:tc>
        <w:tc>
          <w:tcPr>
            <w:tcW w:w="1278" w:type="dxa"/>
          </w:tcPr>
          <w:p w14:paraId="52032A17"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5E728EA4"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T3, R4</w:t>
            </w:r>
          </w:p>
        </w:tc>
        <w:tc>
          <w:tcPr>
            <w:tcW w:w="3544" w:type="dxa"/>
          </w:tcPr>
          <w:p w14:paraId="6BD7250F"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Primary agent for treatment and prevention of tuberculosis</w:t>
            </w:r>
          </w:p>
        </w:tc>
        <w:tc>
          <w:tcPr>
            <w:cnfStyle w:val="000010000000" w:firstRow="0" w:lastRow="0" w:firstColumn="0" w:lastColumn="0" w:oddVBand="1" w:evenVBand="0" w:oddHBand="0" w:evenHBand="0" w:firstRowFirstColumn="0" w:firstRowLastColumn="0" w:lastRowFirstColumn="0" w:lastRowLastColumn="0"/>
            <w:tcW w:w="1560" w:type="dxa"/>
          </w:tcPr>
          <w:p w14:paraId="37B5977A"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065CFE1A"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0A186F9B" w14:textId="3C980B57" w:rsidR="00381D80" w:rsidRPr="00BD6C45" w:rsidRDefault="004257AB"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Ethambutol, </w:t>
            </w:r>
            <w:r w:rsidR="00381D80" w:rsidRPr="00BD6C45">
              <w:rPr>
                <w:rFonts w:ascii="Arial Narrow" w:hAnsi="Arial Narrow" w:cs="Arial Narrow"/>
                <w:color w:val="000000"/>
                <w:sz w:val="21"/>
                <w:szCs w:val="21"/>
                <w:lang w:val="en-GB"/>
              </w:rPr>
              <w:t>pyrazinamide</w:t>
            </w:r>
            <w:r w:rsidR="00F265B4" w:rsidRPr="00BD6C45">
              <w:rPr>
                <w:rFonts w:ascii="Arial Narrow" w:hAnsi="Arial Narrow" w:cs="Arial Narrow"/>
                <w:color w:val="000000"/>
                <w:sz w:val="21"/>
                <w:szCs w:val="21"/>
                <w:vertAlign w:val="superscript"/>
                <w:lang w:val="en-GB"/>
              </w:rPr>
              <w:t>3</w:t>
            </w:r>
          </w:p>
        </w:tc>
        <w:tc>
          <w:tcPr>
            <w:tcW w:w="1278" w:type="dxa"/>
          </w:tcPr>
          <w:p w14:paraId="667E4C9F"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164E5C43"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P1, T3, R4</w:t>
            </w:r>
          </w:p>
        </w:tc>
        <w:tc>
          <w:tcPr>
            <w:tcW w:w="3544" w:type="dxa"/>
          </w:tcPr>
          <w:p w14:paraId="57362A6A"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Primary agent for treatment of TB</w:t>
            </w:r>
          </w:p>
        </w:tc>
        <w:tc>
          <w:tcPr>
            <w:cnfStyle w:val="000010000000" w:firstRow="0" w:lastRow="0" w:firstColumn="0" w:lastColumn="0" w:oddVBand="1" w:evenVBand="0" w:oddHBand="0" w:evenHBand="0" w:firstRowFirstColumn="0" w:firstRowLastColumn="0" w:lastRowFirstColumn="0" w:lastRowLastColumn="0"/>
            <w:tcW w:w="1560" w:type="dxa"/>
          </w:tcPr>
          <w:p w14:paraId="54060790"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15F39740"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388CD64E" w14:textId="2FB14CD7" w:rsidR="00381D80" w:rsidRPr="00BD6C45" w:rsidRDefault="00381D80" w:rsidP="0087188A">
            <w:pPr>
              <w:pStyle w:val="Default1"/>
              <w:spacing w:line="276" w:lineRule="auto"/>
              <w:rPr>
                <w:rFonts w:ascii="Arial Narrow" w:hAnsi="Arial Narrow" w:cs="Arial Narrow"/>
                <w:sz w:val="21"/>
                <w:szCs w:val="21"/>
                <w:lang w:val="en-GB"/>
              </w:rPr>
            </w:pPr>
            <w:r w:rsidRPr="00BD6C45">
              <w:rPr>
                <w:rFonts w:ascii="Arial Narrow" w:hAnsi="Arial Narrow" w:cs="Arial Narrow"/>
                <w:sz w:val="21"/>
                <w:szCs w:val="21"/>
                <w:lang w:val="en-GB"/>
              </w:rPr>
              <w:t>Cycloserine, p-aminosalicylic acid</w:t>
            </w:r>
            <w:r w:rsidR="00F265B4" w:rsidRPr="00BD6C45">
              <w:rPr>
                <w:rFonts w:ascii="Arial Narrow" w:hAnsi="Arial Narrow" w:cs="Arial Narrow"/>
                <w:sz w:val="21"/>
                <w:szCs w:val="21"/>
                <w:vertAlign w:val="superscript"/>
                <w:lang w:val="en-GB"/>
              </w:rPr>
              <w:t>3</w:t>
            </w:r>
            <w:r w:rsidRPr="00BD6C45">
              <w:rPr>
                <w:rFonts w:ascii="Arial Narrow" w:hAnsi="Arial Narrow" w:cs="Arial Narrow"/>
                <w:sz w:val="21"/>
                <w:szCs w:val="21"/>
                <w:lang w:val="en-GB"/>
              </w:rPr>
              <w:t>,</w:t>
            </w:r>
            <w:r w:rsidR="004257AB" w:rsidRPr="00BD6C45">
              <w:rPr>
                <w:rFonts w:ascii="Arial Narrow" w:hAnsi="Arial Narrow" w:cs="Arial Narrow"/>
                <w:color w:val="000000"/>
                <w:sz w:val="21"/>
                <w:szCs w:val="21"/>
                <w:lang w:val="en-GB"/>
              </w:rPr>
              <w:t xml:space="preserve"> prothionamide</w:t>
            </w:r>
            <w:r w:rsidR="00F265B4" w:rsidRPr="00BD6C45">
              <w:rPr>
                <w:rFonts w:ascii="Arial Narrow" w:hAnsi="Arial Narrow" w:cs="Arial Narrow"/>
                <w:sz w:val="21"/>
                <w:szCs w:val="21"/>
                <w:vertAlign w:val="superscript"/>
                <w:lang w:val="en-GB"/>
              </w:rPr>
              <w:t>3</w:t>
            </w:r>
          </w:p>
        </w:tc>
        <w:tc>
          <w:tcPr>
            <w:tcW w:w="1278" w:type="dxa"/>
          </w:tcPr>
          <w:p w14:paraId="0E064448"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1"/>
                <w:szCs w:val="21"/>
                <w:lang w:val="en-GB"/>
              </w:rPr>
            </w:pPr>
            <w:r w:rsidRPr="00BD6C45">
              <w:rPr>
                <w:rFonts w:ascii="Arial Narrow" w:hAnsi="Arial Narrow" w:cs="Arial Narrow"/>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21763EBF" w14:textId="7DD6F582" w:rsidR="00381D80" w:rsidRPr="00BD6C45" w:rsidRDefault="00381D80" w:rsidP="0087188A">
            <w:pPr>
              <w:pStyle w:val="Default1"/>
              <w:spacing w:line="276" w:lineRule="auto"/>
              <w:jc w:val="center"/>
              <w:rPr>
                <w:rFonts w:ascii="Arial Narrow" w:hAnsi="Arial Narrow" w:cs="Arial Narrow"/>
                <w:sz w:val="21"/>
                <w:szCs w:val="21"/>
                <w:lang w:val="en-GB"/>
              </w:rPr>
            </w:pPr>
            <w:r w:rsidRPr="00BD6C45">
              <w:rPr>
                <w:rFonts w:ascii="Arial Narrow" w:hAnsi="Arial Narrow" w:cs="Arial Narrow"/>
                <w:sz w:val="21"/>
                <w:szCs w:val="21"/>
                <w:lang w:val="en-GB"/>
              </w:rPr>
              <w:t>P0, T1, R4</w:t>
            </w:r>
            <w:r w:rsidR="005E6BD6" w:rsidRPr="00BD6C45">
              <w:rPr>
                <w:rFonts w:ascii="Arial Narrow" w:hAnsi="Arial Narrow" w:cs="Arial Narrow"/>
                <w:sz w:val="21"/>
                <w:szCs w:val="21"/>
                <w:lang w:val="en-GB"/>
              </w:rPr>
              <w:t>/R5</w:t>
            </w:r>
          </w:p>
        </w:tc>
        <w:tc>
          <w:tcPr>
            <w:tcW w:w="3544" w:type="dxa"/>
          </w:tcPr>
          <w:p w14:paraId="5051EEE4"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sz w:val="21"/>
                <w:szCs w:val="21"/>
                <w:lang w:val="en-GB"/>
              </w:rPr>
            </w:pPr>
            <w:r w:rsidRPr="00BD6C45">
              <w:rPr>
                <w:rFonts w:ascii="Arial Narrow" w:hAnsi="Arial Narrow" w:cs="Arial Narrow"/>
                <w:sz w:val="21"/>
                <w:szCs w:val="21"/>
                <w:lang w:val="en-GB"/>
              </w:rPr>
              <w:t>Reserve agents for complicated or resistant TB</w:t>
            </w:r>
          </w:p>
        </w:tc>
        <w:tc>
          <w:tcPr>
            <w:cnfStyle w:val="000010000000" w:firstRow="0" w:lastRow="0" w:firstColumn="0" w:lastColumn="0" w:oddVBand="1" w:evenVBand="0" w:oddHBand="0" w:evenHBand="0" w:firstRowFirstColumn="0" w:firstRowLastColumn="0" w:lastRowFirstColumn="0" w:lastRowLastColumn="0"/>
            <w:tcW w:w="1560" w:type="dxa"/>
          </w:tcPr>
          <w:p w14:paraId="724681EF" w14:textId="77777777" w:rsidR="00381D80" w:rsidRPr="00BD6C45" w:rsidRDefault="00381D80" w:rsidP="0087188A">
            <w:pPr>
              <w:pStyle w:val="Default1"/>
              <w:spacing w:line="276" w:lineRule="auto"/>
              <w:jc w:val="center"/>
              <w:rPr>
                <w:rFonts w:ascii="Arial Narrow" w:hAnsi="Arial Narrow" w:cs="Arial Narrow"/>
                <w:sz w:val="21"/>
                <w:szCs w:val="21"/>
                <w:lang w:val="en-GB"/>
              </w:rPr>
            </w:pPr>
          </w:p>
        </w:tc>
      </w:tr>
      <w:tr w:rsidR="00381D80" w:rsidRPr="00BD6C45" w14:paraId="6117BE7B"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09686F86"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Antileprotics</w:t>
            </w:r>
          </w:p>
        </w:tc>
        <w:tc>
          <w:tcPr>
            <w:tcW w:w="1278" w:type="dxa"/>
          </w:tcPr>
          <w:p w14:paraId="068B1038"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1FF9F216"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52C9033E"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048E45C8"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72F28337"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66F350B2" w14:textId="36F0E861" w:rsidR="00381D80" w:rsidRPr="00BD6C45" w:rsidRDefault="004257AB"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Clofazimine</w:t>
            </w:r>
            <w:r w:rsidR="00F265B4" w:rsidRPr="00BD6C45">
              <w:rPr>
                <w:rFonts w:ascii="Arial Narrow" w:hAnsi="Arial Narrow" w:cs="Arial Narrow"/>
                <w:color w:val="000000"/>
                <w:sz w:val="21"/>
                <w:szCs w:val="21"/>
                <w:vertAlign w:val="superscript"/>
                <w:lang w:val="en-GB"/>
              </w:rPr>
              <w:t>3</w:t>
            </w:r>
            <w:r w:rsidRPr="00BD6C45">
              <w:rPr>
                <w:rFonts w:ascii="Arial Narrow" w:hAnsi="Arial Narrow" w:cs="Arial Narrow"/>
                <w:color w:val="000000"/>
                <w:sz w:val="21"/>
                <w:szCs w:val="21"/>
                <w:lang w:val="en-GB"/>
              </w:rPr>
              <w:t xml:space="preserve">, </w:t>
            </w:r>
            <w:r w:rsidR="00381D80" w:rsidRPr="00BD6C45">
              <w:rPr>
                <w:rFonts w:ascii="Arial Narrow" w:hAnsi="Arial Narrow" w:cs="Arial Narrow"/>
                <w:color w:val="000000"/>
                <w:sz w:val="21"/>
                <w:szCs w:val="21"/>
                <w:lang w:val="en-GB"/>
              </w:rPr>
              <w:t>dapsone</w:t>
            </w:r>
          </w:p>
        </w:tc>
        <w:tc>
          <w:tcPr>
            <w:tcW w:w="1278" w:type="dxa"/>
          </w:tcPr>
          <w:p w14:paraId="1F6B989A"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7DCA20E9"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T3, R4</w:t>
            </w:r>
          </w:p>
        </w:tc>
        <w:tc>
          <w:tcPr>
            <w:tcW w:w="3544" w:type="dxa"/>
          </w:tcPr>
          <w:p w14:paraId="4E5D8A19"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Usage predominantly for treatment of leprosy</w:t>
            </w:r>
          </w:p>
        </w:tc>
        <w:tc>
          <w:tcPr>
            <w:cnfStyle w:val="000010000000" w:firstRow="0" w:lastRow="0" w:firstColumn="0" w:lastColumn="0" w:oddVBand="1" w:evenVBand="0" w:oddHBand="0" w:evenHBand="0" w:firstRowFirstColumn="0" w:firstRowLastColumn="0" w:lastRowFirstColumn="0" w:lastRowLastColumn="0"/>
            <w:tcW w:w="1560" w:type="dxa"/>
          </w:tcPr>
          <w:p w14:paraId="7587B9DE"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1012F2AA"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617C2495"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Rifamycins</w:t>
            </w:r>
          </w:p>
        </w:tc>
        <w:tc>
          <w:tcPr>
            <w:tcW w:w="1278" w:type="dxa"/>
          </w:tcPr>
          <w:p w14:paraId="72944B68"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3E1DC879"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17A08ED2"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0593BEFF"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54969054"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41F415CF"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Rifampicin (Rifampin)</w:t>
            </w:r>
          </w:p>
        </w:tc>
        <w:tc>
          <w:tcPr>
            <w:tcW w:w="1278" w:type="dxa"/>
          </w:tcPr>
          <w:p w14:paraId="4BF58CED"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262C3B10"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P3, T3, R2</w:t>
            </w:r>
          </w:p>
        </w:tc>
        <w:tc>
          <w:tcPr>
            <w:tcW w:w="3544" w:type="dxa"/>
          </w:tcPr>
          <w:p w14:paraId="0AD00659" w14:textId="16D8EAB2" w:rsidR="000D1C68"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Meningococcal and </w:t>
            </w:r>
            <w:r w:rsidRPr="00BD6C45">
              <w:rPr>
                <w:rFonts w:ascii="Arial Narrow" w:hAnsi="Arial Narrow" w:cs="Arial Narrow"/>
                <w:i/>
                <w:iCs/>
                <w:color w:val="000000"/>
                <w:sz w:val="21"/>
                <w:szCs w:val="21"/>
                <w:lang w:val="en-GB"/>
              </w:rPr>
              <w:t>H. influenzae</w:t>
            </w:r>
            <w:r w:rsidRPr="00BD6C45">
              <w:rPr>
                <w:rFonts w:ascii="Arial Narrow" w:hAnsi="Arial Narrow" w:cs="Arial Narrow"/>
                <w:color w:val="000000"/>
                <w:sz w:val="21"/>
                <w:szCs w:val="21"/>
                <w:lang w:val="en-GB"/>
              </w:rPr>
              <w:t xml:space="preserve"> type b prophylaxis; Standard</w:t>
            </w:r>
            <w:r w:rsidR="004257AB" w:rsidRPr="00BD6C45">
              <w:rPr>
                <w:rFonts w:ascii="Arial Narrow" w:hAnsi="Arial Narrow" w:cs="Arial Narrow"/>
                <w:color w:val="000000"/>
                <w:sz w:val="21"/>
                <w:szCs w:val="21"/>
                <w:lang w:val="en-GB"/>
              </w:rPr>
              <w:t xml:space="preserve"> part of TB regimens</w:t>
            </w:r>
            <w:r w:rsidR="00FF315B">
              <w:rPr>
                <w:rFonts w:ascii="Arial Narrow" w:hAnsi="Arial Narrow" w:cs="Arial Narrow"/>
                <w:color w:val="000000"/>
                <w:sz w:val="21"/>
                <w:szCs w:val="21"/>
                <w:lang w:val="en-GB"/>
              </w:rPr>
              <w:t>.</w:t>
            </w:r>
          </w:p>
          <w:p w14:paraId="36B6696E" w14:textId="77777777" w:rsidR="00ED78C3" w:rsidRDefault="00ED78C3"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p>
          <w:p w14:paraId="09E29BEC" w14:textId="047B97D7" w:rsidR="00381D80" w:rsidRPr="00BD6C45" w:rsidRDefault="00B36608"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Important oral agent in combination for MRSA infections</w:t>
            </w:r>
          </w:p>
        </w:tc>
        <w:tc>
          <w:tcPr>
            <w:cnfStyle w:val="000010000000" w:firstRow="0" w:lastRow="0" w:firstColumn="0" w:lastColumn="0" w:oddVBand="1" w:evenVBand="0" w:oddHBand="0" w:evenHBand="0" w:firstRowFirstColumn="0" w:firstRowLastColumn="0" w:lastRowFirstColumn="0" w:lastRowLastColumn="0"/>
            <w:tcW w:w="1560" w:type="dxa"/>
          </w:tcPr>
          <w:p w14:paraId="55846EAC" w14:textId="581EA164" w:rsidR="00381D80" w:rsidRPr="00BD6C45" w:rsidRDefault="007151C3"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Has been available under permit since 1998 for </w:t>
            </w:r>
            <w:r w:rsidRPr="00BD6C45">
              <w:rPr>
                <w:rFonts w:ascii="Arial Narrow" w:hAnsi="Arial Narrow" w:cs="Arial Narrow"/>
                <w:i/>
                <w:color w:val="000000"/>
                <w:sz w:val="21"/>
                <w:szCs w:val="21"/>
                <w:lang w:val="en-GB"/>
              </w:rPr>
              <w:t>Rhodococcus equi</w:t>
            </w:r>
            <w:r w:rsidRPr="00BD6C45">
              <w:rPr>
                <w:rFonts w:ascii="Arial Narrow" w:hAnsi="Arial Narrow" w:cs="Arial Narrow"/>
                <w:color w:val="000000"/>
                <w:sz w:val="21"/>
                <w:szCs w:val="21"/>
                <w:lang w:val="en-GB"/>
              </w:rPr>
              <w:t xml:space="preserve"> infection. Permit not renewed since Sept 2012 but is available to veterinarians through Bova </w:t>
            </w:r>
            <w:r w:rsidR="00E81B17" w:rsidRPr="00BD6C45">
              <w:rPr>
                <w:rFonts w:ascii="Arial Narrow" w:hAnsi="Arial Narrow" w:cs="Arial Narrow"/>
                <w:color w:val="000000"/>
                <w:sz w:val="21"/>
                <w:szCs w:val="21"/>
                <w:lang w:val="en-GB"/>
              </w:rPr>
              <w:t>Compounding Chemi</w:t>
            </w:r>
            <w:r w:rsidRPr="00BD6C45">
              <w:rPr>
                <w:rFonts w:ascii="Arial Narrow" w:hAnsi="Arial Narrow" w:cs="Arial Narrow"/>
                <w:color w:val="000000"/>
                <w:sz w:val="21"/>
                <w:szCs w:val="21"/>
                <w:lang w:val="en-GB"/>
              </w:rPr>
              <w:t>st</w:t>
            </w:r>
          </w:p>
        </w:tc>
      </w:tr>
      <w:tr w:rsidR="00381D80" w:rsidRPr="00BD6C45" w14:paraId="35C4267D" w14:textId="77777777" w:rsidTr="00BD6C45">
        <w:trPr>
          <w:trHeight w:val="262"/>
        </w:trPr>
        <w:tc>
          <w:tcPr>
            <w:cnfStyle w:val="000010000000" w:firstRow="0" w:lastRow="0" w:firstColumn="0" w:lastColumn="0" w:oddVBand="1" w:evenVBand="0" w:oddHBand="0" w:evenHBand="0" w:firstRowFirstColumn="0" w:firstRowLastColumn="0" w:lastRowFirstColumn="0" w:lastRowLastColumn="0"/>
            <w:tcW w:w="2797" w:type="dxa"/>
          </w:tcPr>
          <w:p w14:paraId="2B65C9CD"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Rifabutin</w:t>
            </w:r>
          </w:p>
        </w:tc>
        <w:tc>
          <w:tcPr>
            <w:tcW w:w="1278" w:type="dxa"/>
          </w:tcPr>
          <w:p w14:paraId="7AFB778A"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1C25E092"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P3, T2, R4</w:t>
            </w:r>
          </w:p>
        </w:tc>
        <w:tc>
          <w:tcPr>
            <w:tcW w:w="3544" w:type="dxa"/>
          </w:tcPr>
          <w:p w14:paraId="74250931" w14:textId="1F1A0BAC"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Treatment and prophylaxis of </w:t>
            </w:r>
            <w:r w:rsidRPr="00BD6C45">
              <w:rPr>
                <w:rFonts w:ascii="Arial Narrow" w:hAnsi="Arial Narrow" w:cs="Arial Narrow"/>
                <w:i/>
                <w:iCs/>
                <w:color w:val="000000"/>
                <w:sz w:val="21"/>
                <w:szCs w:val="21"/>
                <w:lang w:val="en-GB"/>
              </w:rPr>
              <w:t>Mycobacterium avium</w:t>
            </w:r>
            <w:r w:rsidRPr="00BD6C45">
              <w:rPr>
                <w:rFonts w:ascii="Arial Narrow" w:hAnsi="Arial Narrow" w:cs="Arial Narrow"/>
                <w:color w:val="000000"/>
                <w:sz w:val="21"/>
                <w:szCs w:val="21"/>
                <w:lang w:val="en-GB"/>
              </w:rPr>
              <w:t xml:space="preserve"> complex</w:t>
            </w:r>
            <w:r w:rsidR="00B36608" w:rsidRPr="00BD6C45">
              <w:rPr>
                <w:rFonts w:ascii="Arial Narrow" w:hAnsi="Arial Narrow" w:cs="Arial Narrow"/>
                <w:color w:val="000000"/>
                <w:sz w:val="21"/>
                <w:szCs w:val="21"/>
                <w:lang w:val="en-GB"/>
              </w:rPr>
              <w:t xml:space="preserve"> infections</w:t>
            </w:r>
          </w:p>
        </w:tc>
        <w:tc>
          <w:tcPr>
            <w:cnfStyle w:val="000010000000" w:firstRow="0" w:lastRow="0" w:firstColumn="0" w:lastColumn="0" w:oddVBand="1" w:evenVBand="0" w:oddHBand="0" w:evenHBand="0" w:firstRowFirstColumn="0" w:firstRowLastColumn="0" w:lastRowFirstColumn="0" w:lastRowLastColumn="0"/>
            <w:tcW w:w="1560" w:type="dxa"/>
          </w:tcPr>
          <w:p w14:paraId="4BDE99EE"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725E3337"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5D1BFD31"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Rifaximin</w:t>
            </w:r>
          </w:p>
        </w:tc>
        <w:tc>
          <w:tcPr>
            <w:tcW w:w="1278" w:type="dxa"/>
          </w:tcPr>
          <w:p w14:paraId="15CD1A91"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7880F760"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P1, T0, R4</w:t>
            </w:r>
          </w:p>
        </w:tc>
        <w:tc>
          <w:tcPr>
            <w:tcW w:w="3544" w:type="dxa"/>
          </w:tcPr>
          <w:p w14:paraId="069F21C1"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Prevention of hepatic encephalopathy</w:t>
            </w:r>
          </w:p>
        </w:tc>
        <w:tc>
          <w:tcPr>
            <w:cnfStyle w:val="000010000000" w:firstRow="0" w:lastRow="0" w:firstColumn="0" w:lastColumn="0" w:oddVBand="1" w:evenVBand="0" w:oddHBand="0" w:evenHBand="0" w:firstRowFirstColumn="0" w:firstRowLastColumn="0" w:lastRowFirstColumn="0" w:lastRowLastColumn="0"/>
            <w:tcW w:w="1560" w:type="dxa"/>
          </w:tcPr>
          <w:p w14:paraId="21DE909A"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4AE84FB4"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57004AA4"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Polypeptides</w:t>
            </w:r>
          </w:p>
        </w:tc>
        <w:tc>
          <w:tcPr>
            <w:tcW w:w="1278" w:type="dxa"/>
          </w:tcPr>
          <w:p w14:paraId="413C667F"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4534E5B6"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195D4D36"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2B67DF25"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2C14647D"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4D468E3F"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sz w:val="21"/>
                <w:szCs w:val="21"/>
                <w:lang w:val="en-GB"/>
              </w:rPr>
              <w:t>Bacitracin</w:t>
            </w:r>
            <w:r w:rsidR="004257AB" w:rsidRPr="00BD6C45">
              <w:rPr>
                <w:rFonts w:ascii="Arial Narrow" w:hAnsi="Arial Narrow" w:cs="Arial Narrow"/>
                <w:color w:val="000000"/>
                <w:sz w:val="21"/>
                <w:szCs w:val="21"/>
                <w:lang w:val="en-GB"/>
              </w:rPr>
              <w:t xml:space="preserve">, </w:t>
            </w:r>
            <w:r w:rsidRPr="00BD6C45">
              <w:rPr>
                <w:rFonts w:ascii="Arial Narrow" w:hAnsi="Arial Narrow" w:cs="Arial Narrow"/>
                <w:color w:val="000000"/>
                <w:sz w:val="21"/>
                <w:szCs w:val="21"/>
                <w:lang w:val="en-GB"/>
              </w:rPr>
              <w:t>gramicidin</w:t>
            </w:r>
          </w:p>
        </w:tc>
        <w:tc>
          <w:tcPr>
            <w:tcW w:w="1278" w:type="dxa"/>
          </w:tcPr>
          <w:p w14:paraId="26CBE945"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77C0C27F"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T2, R1</w:t>
            </w:r>
          </w:p>
        </w:tc>
        <w:tc>
          <w:tcPr>
            <w:tcW w:w="3544" w:type="dxa"/>
          </w:tcPr>
          <w:p w14:paraId="38F27873"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Topical agents with Gram-positive activity</w:t>
            </w:r>
          </w:p>
        </w:tc>
        <w:tc>
          <w:tcPr>
            <w:cnfStyle w:val="000010000000" w:firstRow="0" w:lastRow="0" w:firstColumn="0" w:lastColumn="0" w:oddVBand="1" w:evenVBand="0" w:oddHBand="0" w:evenHBand="0" w:firstRowFirstColumn="0" w:firstRowLastColumn="0" w:lastRowFirstColumn="0" w:lastRowLastColumn="0"/>
            <w:tcW w:w="1560" w:type="dxa"/>
          </w:tcPr>
          <w:p w14:paraId="4903A66C"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r w:rsidRPr="00BD6C45">
              <w:rPr>
                <w:rFonts w:ascii="Arial Narrow" w:hAnsi="Arial Narrow" w:cs="Arial Narrow"/>
                <w:color w:val="000000"/>
                <w:sz w:val="21"/>
                <w:szCs w:val="21"/>
                <w:lang w:val="en-GB"/>
              </w:rPr>
              <w:br/>
              <w:t>(Bacitracin)</w:t>
            </w:r>
          </w:p>
        </w:tc>
      </w:tr>
      <w:tr w:rsidR="00381D80" w:rsidRPr="00BD6C45" w14:paraId="70F054BF"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255FCE6D" w14:textId="77777777" w:rsidR="00381D80" w:rsidRPr="00BD6C45" w:rsidRDefault="00381D80" w:rsidP="0087188A">
            <w:pPr>
              <w:pStyle w:val="Default1"/>
              <w:spacing w:line="276" w:lineRule="auto"/>
              <w:rPr>
                <w:rFonts w:ascii="Arial Narrow" w:hAnsi="Arial Narrow" w:cs="Arial Narrow"/>
                <w:sz w:val="21"/>
                <w:szCs w:val="21"/>
                <w:lang w:val="en-GB"/>
              </w:rPr>
            </w:pPr>
            <w:r w:rsidRPr="00BD6C45">
              <w:rPr>
                <w:rFonts w:ascii="Arial Narrow" w:hAnsi="Arial Narrow" w:cs="Arial Narrow"/>
                <w:b/>
                <w:bCs/>
                <w:color w:val="000000"/>
                <w:sz w:val="21"/>
                <w:szCs w:val="21"/>
                <w:lang w:val="en-GB"/>
              </w:rPr>
              <w:t>Polymyxins</w:t>
            </w:r>
          </w:p>
        </w:tc>
        <w:tc>
          <w:tcPr>
            <w:tcW w:w="1278" w:type="dxa"/>
          </w:tcPr>
          <w:p w14:paraId="677EFC38"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0D9EDB45"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c>
          <w:tcPr>
            <w:tcW w:w="3544" w:type="dxa"/>
          </w:tcPr>
          <w:p w14:paraId="224EA143"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3D8D4DD9"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39E7BD2B"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4EF01833" w14:textId="0257BD2E" w:rsidR="00381D80" w:rsidRPr="00BD6C45" w:rsidRDefault="00381D80" w:rsidP="0087188A">
            <w:pPr>
              <w:pStyle w:val="Default1"/>
              <w:spacing w:line="276" w:lineRule="auto"/>
              <w:rPr>
                <w:rFonts w:ascii="Arial Narrow" w:hAnsi="Arial Narrow" w:cs="Arial Narrow"/>
                <w:sz w:val="21"/>
                <w:szCs w:val="21"/>
                <w:lang w:val="en-GB"/>
              </w:rPr>
            </w:pPr>
            <w:r w:rsidRPr="00BD6C45">
              <w:rPr>
                <w:rFonts w:ascii="Arial Narrow" w:hAnsi="Arial Narrow" w:cs="Arial Narrow"/>
                <w:sz w:val="21"/>
                <w:szCs w:val="21"/>
                <w:lang w:val="en-GB"/>
              </w:rPr>
              <w:t>Polymyxin B</w:t>
            </w:r>
          </w:p>
        </w:tc>
        <w:tc>
          <w:tcPr>
            <w:tcW w:w="1278" w:type="dxa"/>
          </w:tcPr>
          <w:p w14:paraId="6BDD3D42"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2183F9E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T2, R1</w:t>
            </w:r>
          </w:p>
        </w:tc>
        <w:tc>
          <w:tcPr>
            <w:tcW w:w="3544" w:type="dxa"/>
          </w:tcPr>
          <w:p w14:paraId="5F17B0C5"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Topical agent with Gram-negative activity</w:t>
            </w:r>
          </w:p>
        </w:tc>
        <w:tc>
          <w:tcPr>
            <w:cnfStyle w:val="000010000000" w:firstRow="0" w:lastRow="0" w:firstColumn="0" w:lastColumn="0" w:oddVBand="1" w:evenVBand="0" w:oddHBand="0" w:evenHBand="0" w:firstRowFirstColumn="0" w:firstRowLastColumn="0" w:lastRowFirstColumn="0" w:lastRowLastColumn="0"/>
            <w:tcW w:w="1560" w:type="dxa"/>
          </w:tcPr>
          <w:p w14:paraId="2AE54DD5" w14:textId="4299A44F"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r w:rsidR="00D63DD1" w:rsidRPr="00BD6C45">
              <w:rPr>
                <w:rFonts w:ascii="Arial Narrow" w:hAnsi="Arial Narrow" w:cs="Arial Narrow"/>
                <w:color w:val="000000"/>
                <w:sz w:val="21"/>
                <w:szCs w:val="21"/>
                <w:vertAlign w:val="superscript"/>
                <w:lang w:val="en-GB"/>
              </w:rPr>
              <w:t>4</w:t>
            </w:r>
          </w:p>
        </w:tc>
      </w:tr>
      <w:tr w:rsidR="00381D80" w:rsidRPr="00BD6C45" w14:paraId="55F7998D"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0A50FDD4"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Colistin</w:t>
            </w:r>
          </w:p>
        </w:tc>
        <w:tc>
          <w:tcPr>
            <w:tcW w:w="1278" w:type="dxa"/>
          </w:tcPr>
          <w:p w14:paraId="6026745F"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3E4B4FDB"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T1, R</w:t>
            </w:r>
            <w:r w:rsidR="004257AB" w:rsidRPr="00BD6C45">
              <w:rPr>
                <w:rFonts w:ascii="Arial Narrow" w:hAnsi="Arial Narrow" w:cs="Arial Narrow"/>
                <w:color w:val="000000"/>
                <w:sz w:val="21"/>
                <w:szCs w:val="21"/>
                <w:lang w:val="en-GB"/>
              </w:rPr>
              <w:t>4</w:t>
            </w:r>
          </w:p>
        </w:tc>
        <w:tc>
          <w:tcPr>
            <w:tcW w:w="3544" w:type="dxa"/>
          </w:tcPr>
          <w:p w14:paraId="0EF7764F" w14:textId="77777777" w:rsidR="00381D80"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Reserve agent for very multi-resistant gram-negative</w:t>
            </w:r>
            <w:r w:rsidR="007A1AE5" w:rsidRPr="00BD6C45">
              <w:rPr>
                <w:rFonts w:ascii="Arial Narrow" w:hAnsi="Arial Narrow" w:cs="Arial Narrow"/>
                <w:color w:val="000000"/>
                <w:sz w:val="21"/>
                <w:szCs w:val="21"/>
                <w:lang w:val="en-GB"/>
              </w:rPr>
              <w:t xml:space="preserve"> infection (both inhaled and intravenous)</w:t>
            </w:r>
          </w:p>
          <w:p w14:paraId="6A435B40" w14:textId="0A2E4ED6" w:rsidR="00ED78C3" w:rsidRPr="00ED78C3" w:rsidRDefault="00ED78C3" w:rsidP="00ED78C3">
            <w:pPr>
              <w:pStyle w:val="Default"/>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35108629"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65591B3B"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3FE27083"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lastRenderedPageBreak/>
              <w:t>Amphenicols</w:t>
            </w:r>
          </w:p>
        </w:tc>
        <w:tc>
          <w:tcPr>
            <w:tcW w:w="1278" w:type="dxa"/>
          </w:tcPr>
          <w:p w14:paraId="6D033A69"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2FE4D2C5"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78769685"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78796D0A"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0FE09CFF"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2676975A"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Chloramphenicol</w:t>
            </w:r>
          </w:p>
        </w:tc>
        <w:tc>
          <w:tcPr>
            <w:tcW w:w="1278" w:type="dxa"/>
          </w:tcPr>
          <w:p w14:paraId="2E992745"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Low</w:t>
            </w:r>
          </w:p>
        </w:tc>
        <w:tc>
          <w:tcPr>
            <w:cnfStyle w:val="000010000000" w:firstRow="0" w:lastRow="0" w:firstColumn="0" w:lastColumn="0" w:oddVBand="1" w:evenVBand="0" w:oddHBand="0" w:evenHBand="0" w:firstRowFirstColumn="0" w:firstRowLastColumn="0" w:lastRowFirstColumn="0" w:lastRowLastColumn="0"/>
            <w:tcW w:w="994" w:type="dxa"/>
          </w:tcPr>
          <w:p w14:paraId="44845829"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T2, R1</w:t>
            </w:r>
          </w:p>
        </w:tc>
        <w:tc>
          <w:tcPr>
            <w:tcW w:w="3544" w:type="dxa"/>
          </w:tcPr>
          <w:p w14:paraId="2436EB6C"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Usage largely as topical eye preparation. Occasional need for </w:t>
            </w:r>
            <w:r w:rsidR="00DB6B54" w:rsidRPr="00BD6C45">
              <w:rPr>
                <w:rFonts w:ascii="Arial Narrow" w:hAnsi="Arial Narrow" w:cs="Arial Narrow"/>
                <w:color w:val="000000"/>
                <w:sz w:val="21"/>
                <w:szCs w:val="21"/>
                <w:lang w:val="en-GB"/>
              </w:rPr>
              <w:t>the treatment of bacterial meningitis</w:t>
            </w:r>
          </w:p>
        </w:tc>
        <w:tc>
          <w:tcPr>
            <w:cnfStyle w:val="000010000000" w:firstRow="0" w:lastRow="0" w:firstColumn="0" w:lastColumn="0" w:oddVBand="1" w:evenVBand="0" w:oddHBand="0" w:evenHBand="0" w:firstRowFirstColumn="0" w:firstRowLastColumn="0" w:lastRowFirstColumn="0" w:lastRowLastColumn="0"/>
            <w:tcW w:w="1560" w:type="dxa"/>
          </w:tcPr>
          <w:p w14:paraId="69F24F7F"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p>
        </w:tc>
      </w:tr>
      <w:tr w:rsidR="00381D80" w:rsidRPr="00BD6C45" w14:paraId="3B32725F"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386FA69E"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Nitrofurans</w:t>
            </w:r>
          </w:p>
        </w:tc>
        <w:tc>
          <w:tcPr>
            <w:tcW w:w="1278" w:type="dxa"/>
          </w:tcPr>
          <w:p w14:paraId="2E57D22B"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7A267C22"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31750D41"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728A357A"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3EDDEC6B"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195A7377"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Nitrofurantoin</w:t>
            </w:r>
          </w:p>
        </w:tc>
        <w:tc>
          <w:tcPr>
            <w:tcW w:w="1278" w:type="dxa"/>
          </w:tcPr>
          <w:p w14:paraId="3E0C649D" w14:textId="0BEA5138" w:rsidR="00381D80" w:rsidRPr="00BD6C45" w:rsidRDefault="005E6BD6"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7C7CA057"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P2, T2, R1</w:t>
            </w:r>
          </w:p>
        </w:tc>
        <w:tc>
          <w:tcPr>
            <w:tcW w:w="3544" w:type="dxa"/>
          </w:tcPr>
          <w:p w14:paraId="54202A7B" w14:textId="20F18764"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Treatment and prophylaxis of urinary tract infections </w:t>
            </w:r>
            <w:r w:rsidR="00B77E01" w:rsidRPr="00BD6C45">
              <w:rPr>
                <w:rFonts w:ascii="Arial Narrow" w:hAnsi="Arial Narrow" w:cs="Arial Narrow"/>
                <w:color w:val="000000"/>
                <w:sz w:val="21"/>
                <w:szCs w:val="21"/>
                <w:lang w:val="en-GB"/>
              </w:rPr>
              <w:t>only</w:t>
            </w:r>
          </w:p>
        </w:tc>
        <w:tc>
          <w:tcPr>
            <w:cnfStyle w:val="000010000000" w:firstRow="0" w:lastRow="0" w:firstColumn="0" w:lastColumn="0" w:oddVBand="1" w:evenVBand="0" w:oddHBand="0" w:evenHBand="0" w:firstRowFirstColumn="0" w:firstRowLastColumn="0" w:lastRowFirstColumn="0" w:lastRowLastColumn="0"/>
            <w:tcW w:w="1560" w:type="dxa"/>
          </w:tcPr>
          <w:p w14:paraId="710A9AB4"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5E6BD6" w:rsidRPr="00BD6C45" w14:paraId="1AF7FEB0"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180FC936" w14:textId="1A2BBB10" w:rsidR="005E6BD6" w:rsidRPr="00BD6C45" w:rsidRDefault="005E6BD6" w:rsidP="0087188A">
            <w:pPr>
              <w:pStyle w:val="Default"/>
              <w:spacing w:line="276" w:lineRule="auto"/>
              <w:rPr>
                <w:rFonts w:ascii="Arial Narrow" w:hAnsi="Arial Narrow"/>
                <w:color w:val="auto"/>
                <w:sz w:val="21"/>
                <w:szCs w:val="21"/>
                <w:lang w:val="en-GB"/>
              </w:rPr>
            </w:pPr>
            <w:r w:rsidRPr="00BD6C45">
              <w:rPr>
                <w:rFonts w:ascii="Arial Narrow" w:hAnsi="Arial Narrow"/>
                <w:color w:val="auto"/>
                <w:sz w:val="21"/>
                <w:szCs w:val="21"/>
                <w:lang w:val="en-GB"/>
              </w:rPr>
              <w:t>Furazolidone</w:t>
            </w:r>
            <w:r w:rsidR="00F265B4" w:rsidRPr="00BD6C45">
              <w:rPr>
                <w:rFonts w:ascii="Arial Narrow" w:hAnsi="Arial Narrow" w:cs="Arial Narrow"/>
                <w:sz w:val="21"/>
                <w:szCs w:val="21"/>
                <w:vertAlign w:val="superscript"/>
                <w:lang w:val="en-GB"/>
              </w:rPr>
              <w:t>3</w:t>
            </w:r>
          </w:p>
        </w:tc>
        <w:tc>
          <w:tcPr>
            <w:tcW w:w="1278" w:type="dxa"/>
          </w:tcPr>
          <w:p w14:paraId="30A6CCB9" w14:textId="362FD60F" w:rsidR="005E6BD6" w:rsidRPr="00BD6C45" w:rsidRDefault="005E6BD6"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0A08A037" w14:textId="5B81D866" w:rsidR="005E6BD6" w:rsidRPr="00BD6C45" w:rsidRDefault="005E6BD6" w:rsidP="0087188A">
            <w:pPr>
              <w:pStyle w:val="Default1"/>
              <w:spacing w:line="276" w:lineRule="auto"/>
              <w:jc w:val="center"/>
              <w:rPr>
                <w:rFonts w:ascii="Arial Narrow" w:hAnsi="Arial Narrow" w:cs="Garamond"/>
                <w:color w:val="000000"/>
                <w:sz w:val="21"/>
                <w:szCs w:val="21"/>
                <w:lang w:val="en-GB"/>
              </w:rPr>
            </w:pPr>
            <w:r w:rsidRPr="00BD6C45">
              <w:rPr>
                <w:rFonts w:ascii="Arial Narrow" w:hAnsi="Arial Narrow" w:cs="Garamond"/>
                <w:color w:val="000000"/>
                <w:sz w:val="21"/>
                <w:szCs w:val="21"/>
                <w:lang w:val="en-GB"/>
              </w:rPr>
              <w:t>P0, T1, R5</w:t>
            </w:r>
          </w:p>
        </w:tc>
        <w:tc>
          <w:tcPr>
            <w:tcW w:w="3544" w:type="dxa"/>
          </w:tcPr>
          <w:p w14:paraId="07F70AA4" w14:textId="00FD5C6D" w:rsidR="005E6BD6" w:rsidRPr="00BD6C45" w:rsidRDefault="005E6BD6"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Garamond"/>
                <w:color w:val="000000"/>
                <w:sz w:val="21"/>
                <w:szCs w:val="21"/>
                <w:lang w:val="en-GB"/>
              </w:rPr>
            </w:pPr>
            <w:r w:rsidRPr="00BD6C45">
              <w:rPr>
                <w:rFonts w:ascii="Arial Narrow" w:hAnsi="Arial Narrow" w:cs="Garamond"/>
                <w:color w:val="000000"/>
                <w:sz w:val="21"/>
                <w:szCs w:val="21"/>
                <w:lang w:val="en-GB"/>
              </w:rPr>
              <w:t xml:space="preserve">Reserve treatment for </w:t>
            </w:r>
            <w:r w:rsidRPr="00BD6C45">
              <w:rPr>
                <w:rFonts w:ascii="Arial Narrow" w:hAnsi="Arial Narrow" w:cs="Garamond"/>
                <w:i/>
                <w:color w:val="000000"/>
                <w:sz w:val="21"/>
                <w:szCs w:val="21"/>
                <w:lang w:val="en-GB"/>
              </w:rPr>
              <w:t>Helicobacter pylori</w:t>
            </w:r>
            <w:r w:rsidRPr="00BD6C45">
              <w:rPr>
                <w:rFonts w:ascii="Arial Narrow" w:hAnsi="Arial Narrow" w:cs="Garamond"/>
                <w:color w:val="000000"/>
                <w:sz w:val="21"/>
                <w:szCs w:val="21"/>
                <w:lang w:val="en-GB"/>
              </w:rPr>
              <w:t xml:space="preserve"> infection</w:t>
            </w:r>
          </w:p>
        </w:tc>
        <w:tc>
          <w:tcPr>
            <w:cnfStyle w:val="000010000000" w:firstRow="0" w:lastRow="0" w:firstColumn="0" w:lastColumn="0" w:oddVBand="1" w:evenVBand="0" w:oddHBand="0" w:evenHBand="0" w:firstRowFirstColumn="0" w:firstRowLastColumn="0" w:lastRowFirstColumn="0" w:lastRowLastColumn="0"/>
            <w:tcW w:w="1560" w:type="dxa"/>
          </w:tcPr>
          <w:p w14:paraId="2B5FF2F2" w14:textId="77777777" w:rsidR="005E6BD6" w:rsidRPr="00BD6C45" w:rsidRDefault="005E6BD6" w:rsidP="0087188A">
            <w:pPr>
              <w:pStyle w:val="Default1"/>
              <w:spacing w:line="276" w:lineRule="auto"/>
              <w:jc w:val="center"/>
              <w:rPr>
                <w:rFonts w:ascii="Arial Narrow" w:hAnsi="Arial Narrow" w:cs="Garamond"/>
                <w:color w:val="000000"/>
                <w:sz w:val="21"/>
                <w:szCs w:val="21"/>
                <w:lang w:val="en-GB"/>
              </w:rPr>
            </w:pPr>
          </w:p>
        </w:tc>
      </w:tr>
      <w:tr w:rsidR="00381D80" w:rsidRPr="00BD6C45" w14:paraId="7F935199"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62C3969E"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Fusidanes</w:t>
            </w:r>
          </w:p>
        </w:tc>
        <w:tc>
          <w:tcPr>
            <w:tcW w:w="1278" w:type="dxa"/>
          </w:tcPr>
          <w:p w14:paraId="04760BC3"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3FADDB95"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0BCDAF42"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Garamond"/>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6CC93F6E"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r>
      <w:tr w:rsidR="00381D80" w:rsidRPr="00BD6C45" w14:paraId="591CF492"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51AE577D"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Sodium fusidate</w:t>
            </w:r>
          </w:p>
        </w:tc>
        <w:tc>
          <w:tcPr>
            <w:tcW w:w="1278" w:type="dxa"/>
          </w:tcPr>
          <w:p w14:paraId="285F2875"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659FE65F"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 T3, R2</w:t>
            </w:r>
          </w:p>
        </w:tc>
        <w:tc>
          <w:tcPr>
            <w:tcW w:w="3544" w:type="dxa"/>
          </w:tcPr>
          <w:p w14:paraId="4255AA7F"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Used in combination therapy with rifampicin for MRSA</w:t>
            </w:r>
          </w:p>
        </w:tc>
        <w:tc>
          <w:tcPr>
            <w:cnfStyle w:val="000010000000" w:firstRow="0" w:lastRow="0" w:firstColumn="0" w:lastColumn="0" w:oddVBand="1" w:evenVBand="0" w:oddHBand="0" w:evenHBand="0" w:firstRowFirstColumn="0" w:firstRowLastColumn="0" w:lastRowFirstColumn="0" w:lastRowLastColumn="0"/>
            <w:tcW w:w="1560" w:type="dxa"/>
          </w:tcPr>
          <w:p w14:paraId="6B7A97C3" w14:textId="32FD67A6"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Yes</w:t>
            </w:r>
            <w:r w:rsidR="00D63DD1" w:rsidRPr="00BD6C45">
              <w:rPr>
                <w:rFonts w:ascii="Arial Narrow" w:hAnsi="Arial Narrow" w:cs="Arial Narrow"/>
                <w:color w:val="000000"/>
                <w:sz w:val="21"/>
                <w:szCs w:val="21"/>
                <w:vertAlign w:val="superscript"/>
                <w:lang w:val="en-GB"/>
              </w:rPr>
              <w:t>4</w:t>
            </w:r>
          </w:p>
        </w:tc>
      </w:tr>
      <w:tr w:rsidR="00381D80" w:rsidRPr="00BD6C45" w14:paraId="0804EF5C"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46DF720F" w14:textId="77777777" w:rsidR="00381D80" w:rsidRPr="00BD6C45" w:rsidRDefault="00381D80" w:rsidP="0087188A">
            <w:pPr>
              <w:pStyle w:val="Default1"/>
              <w:spacing w:line="276" w:lineRule="auto"/>
              <w:rPr>
                <w:rFonts w:ascii="Arial Narrow" w:hAnsi="Arial Narrow" w:cs="Arial Narrow"/>
                <w:b/>
                <w:bCs/>
                <w:color w:val="000000"/>
                <w:sz w:val="21"/>
                <w:szCs w:val="21"/>
                <w:lang w:val="en-GB"/>
              </w:rPr>
            </w:pPr>
            <w:r w:rsidRPr="00BD6C45">
              <w:rPr>
                <w:rFonts w:ascii="Arial Narrow" w:hAnsi="Arial Narrow" w:cs="Arial Narrow"/>
                <w:b/>
                <w:bCs/>
                <w:color w:val="000000"/>
                <w:sz w:val="21"/>
                <w:szCs w:val="21"/>
                <w:lang w:val="en-GB"/>
              </w:rPr>
              <w:t>Fosfomycins</w:t>
            </w:r>
          </w:p>
        </w:tc>
        <w:tc>
          <w:tcPr>
            <w:tcW w:w="1278" w:type="dxa"/>
          </w:tcPr>
          <w:p w14:paraId="05278E4E"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598B0C8B"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466D11E7"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6154A9DA"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57E37E17" w14:textId="77777777" w:rsidTr="00BD6C4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2797" w:type="dxa"/>
          </w:tcPr>
          <w:p w14:paraId="405F43C2" w14:textId="77777777" w:rsidR="00381D80" w:rsidRPr="00BD6C45" w:rsidRDefault="00381D80" w:rsidP="0087188A">
            <w:pPr>
              <w:pStyle w:val="Default1"/>
              <w:spacing w:line="276" w:lineRule="auto"/>
              <w:rPr>
                <w:rFonts w:ascii="Arial Narrow" w:hAnsi="Arial Narrow" w:cs="Arial Narrow"/>
                <w:bCs/>
                <w:sz w:val="21"/>
                <w:szCs w:val="21"/>
                <w:lang w:val="en-GB"/>
              </w:rPr>
            </w:pPr>
            <w:r w:rsidRPr="00BD6C45">
              <w:rPr>
                <w:rFonts w:ascii="Arial Narrow" w:hAnsi="Arial Narrow" w:cs="Arial Narrow"/>
                <w:bCs/>
                <w:sz w:val="21"/>
                <w:szCs w:val="21"/>
                <w:lang w:val="en-GB"/>
              </w:rPr>
              <w:t>Fosfomycin</w:t>
            </w:r>
          </w:p>
        </w:tc>
        <w:tc>
          <w:tcPr>
            <w:tcW w:w="1278" w:type="dxa"/>
          </w:tcPr>
          <w:p w14:paraId="21B7512E"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10B2142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P0,T1,R5</w:t>
            </w:r>
          </w:p>
        </w:tc>
        <w:tc>
          <w:tcPr>
            <w:tcW w:w="3544" w:type="dxa"/>
          </w:tcPr>
          <w:p w14:paraId="1ABCBA3F"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5541C9B1"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58E71C32" w14:textId="77777777" w:rsidTr="00BD6C45">
        <w:trPr>
          <w:trHeight w:val="255"/>
        </w:trPr>
        <w:tc>
          <w:tcPr>
            <w:cnfStyle w:val="000010000000" w:firstRow="0" w:lastRow="0" w:firstColumn="0" w:lastColumn="0" w:oddVBand="1" w:evenVBand="0" w:oddHBand="0" w:evenHBand="0" w:firstRowFirstColumn="0" w:firstRowLastColumn="0" w:lastRowFirstColumn="0" w:lastRowLastColumn="0"/>
            <w:tcW w:w="2797" w:type="dxa"/>
          </w:tcPr>
          <w:p w14:paraId="4D691CAF"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b/>
                <w:bCs/>
                <w:color w:val="000000"/>
                <w:sz w:val="21"/>
                <w:szCs w:val="21"/>
                <w:lang w:val="en-GB"/>
              </w:rPr>
              <w:t>Pseudomonic acids</w:t>
            </w:r>
          </w:p>
        </w:tc>
        <w:tc>
          <w:tcPr>
            <w:tcW w:w="1278" w:type="dxa"/>
          </w:tcPr>
          <w:p w14:paraId="547E47BB"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0B92A8D4"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c>
          <w:tcPr>
            <w:tcW w:w="3544" w:type="dxa"/>
          </w:tcPr>
          <w:p w14:paraId="146382F8"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48A40F2D"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46D642BC"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353184C1"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Mupirocin</w:t>
            </w:r>
          </w:p>
        </w:tc>
        <w:tc>
          <w:tcPr>
            <w:tcW w:w="1278" w:type="dxa"/>
          </w:tcPr>
          <w:p w14:paraId="47BEAABE"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Medium</w:t>
            </w:r>
          </w:p>
        </w:tc>
        <w:tc>
          <w:tcPr>
            <w:cnfStyle w:val="000010000000" w:firstRow="0" w:lastRow="0" w:firstColumn="0" w:lastColumn="0" w:oddVBand="1" w:evenVBand="0" w:oddHBand="0" w:evenHBand="0" w:firstRowFirstColumn="0" w:firstRowLastColumn="0" w:lastRowFirstColumn="0" w:lastRowLastColumn="0"/>
            <w:tcW w:w="994" w:type="dxa"/>
          </w:tcPr>
          <w:p w14:paraId="78A91190"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P1, T3, R1</w:t>
            </w:r>
          </w:p>
        </w:tc>
        <w:tc>
          <w:tcPr>
            <w:tcW w:w="3544" w:type="dxa"/>
          </w:tcPr>
          <w:p w14:paraId="0913B9A7" w14:textId="5A0B11A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Topical treatment of skin infections and clearance of </w:t>
            </w:r>
            <w:r w:rsidRPr="00BD6C45">
              <w:rPr>
                <w:rFonts w:ascii="Arial Narrow" w:hAnsi="Arial Narrow" w:cs="Arial Narrow"/>
                <w:i/>
                <w:iCs/>
                <w:color w:val="000000"/>
                <w:sz w:val="21"/>
                <w:szCs w:val="21"/>
                <w:lang w:val="en-GB"/>
              </w:rPr>
              <w:t>S. aureus</w:t>
            </w:r>
            <w:r w:rsidRPr="00BD6C45">
              <w:rPr>
                <w:rFonts w:ascii="Arial Narrow" w:hAnsi="Arial Narrow" w:cs="Arial Narrow"/>
                <w:color w:val="000000"/>
                <w:sz w:val="21"/>
                <w:szCs w:val="21"/>
                <w:lang w:val="en-GB"/>
              </w:rPr>
              <w:t xml:space="preserve"> nasal</w:t>
            </w:r>
            <w:r w:rsidR="00737119" w:rsidRPr="00BD6C45">
              <w:rPr>
                <w:rFonts w:ascii="Arial Narrow" w:hAnsi="Arial Narrow" w:cs="Arial Narrow"/>
                <w:color w:val="000000"/>
                <w:sz w:val="21"/>
                <w:szCs w:val="21"/>
                <w:lang w:val="en-GB"/>
              </w:rPr>
              <w:t xml:space="preserve"> carriage (including MRSA)</w:t>
            </w:r>
          </w:p>
        </w:tc>
        <w:tc>
          <w:tcPr>
            <w:cnfStyle w:val="000010000000" w:firstRow="0" w:lastRow="0" w:firstColumn="0" w:lastColumn="0" w:oddVBand="1" w:evenVBand="0" w:oddHBand="0" w:evenHBand="0" w:firstRowFirstColumn="0" w:firstRowLastColumn="0" w:lastRowFirstColumn="0" w:lastRowLastColumn="0"/>
            <w:tcW w:w="1560" w:type="dxa"/>
          </w:tcPr>
          <w:p w14:paraId="54C5E45A"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19C6B5AE"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2AEBFFAE" w14:textId="77777777" w:rsidR="00381D80" w:rsidRPr="00BD6C45" w:rsidRDefault="00381D80" w:rsidP="0087188A">
            <w:pPr>
              <w:pStyle w:val="Default1"/>
              <w:spacing w:line="276" w:lineRule="auto"/>
              <w:rPr>
                <w:rFonts w:ascii="Arial Narrow" w:hAnsi="Arial Narrow" w:cs="Arial Narrow"/>
                <w:b/>
                <w:color w:val="000000"/>
                <w:sz w:val="21"/>
                <w:szCs w:val="21"/>
                <w:lang w:val="en-GB"/>
              </w:rPr>
            </w:pPr>
            <w:r w:rsidRPr="00BD6C45">
              <w:rPr>
                <w:rFonts w:ascii="Arial Narrow" w:hAnsi="Arial Narrow" w:cs="Arial Narrow"/>
                <w:b/>
                <w:color w:val="000000"/>
                <w:sz w:val="21"/>
                <w:szCs w:val="21"/>
                <w:lang w:val="en-GB"/>
              </w:rPr>
              <w:t>Lipopeptides</w:t>
            </w:r>
          </w:p>
        </w:tc>
        <w:tc>
          <w:tcPr>
            <w:tcW w:w="1278" w:type="dxa"/>
          </w:tcPr>
          <w:p w14:paraId="3ABC772D" w14:textId="77777777" w:rsidR="00381D80" w:rsidRPr="00BD6C45" w:rsidRDefault="00381D80"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6B34BF54"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619CEC61" w14:textId="77777777" w:rsidR="00381D80" w:rsidRPr="00BD6C45" w:rsidRDefault="00381D80"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5C25309C"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381D80" w:rsidRPr="00BD6C45" w14:paraId="3E7F9675"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773481FD" w14:textId="77777777" w:rsidR="00381D80" w:rsidRPr="00BD6C45" w:rsidRDefault="00381D80"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Daptomycin</w:t>
            </w:r>
          </w:p>
        </w:tc>
        <w:tc>
          <w:tcPr>
            <w:tcW w:w="1278" w:type="dxa"/>
          </w:tcPr>
          <w:p w14:paraId="346BC670" w14:textId="77777777" w:rsidR="00381D80" w:rsidRPr="00BD6C45" w:rsidRDefault="00381D80"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25A89686" w14:textId="77777777" w:rsidR="00381D80" w:rsidRPr="00BD6C45" w:rsidRDefault="00381D80" w:rsidP="0087188A">
            <w:pPr>
              <w:pStyle w:val="Default1"/>
              <w:spacing w:line="276" w:lineRule="auto"/>
              <w:jc w:val="center"/>
              <w:rPr>
                <w:rFonts w:ascii="Arial Narrow" w:hAnsi="Arial Narrow" w:cs="Garamond"/>
                <w:color w:val="000000"/>
                <w:sz w:val="21"/>
                <w:szCs w:val="21"/>
                <w:lang w:val="en-GB"/>
              </w:rPr>
            </w:pPr>
          </w:p>
        </w:tc>
        <w:tc>
          <w:tcPr>
            <w:tcW w:w="3544" w:type="dxa"/>
          </w:tcPr>
          <w:p w14:paraId="4FA3525E" w14:textId="77777777" w:rsidR="00381D80" w:rsidRPr="00BD6C45" w:rsidRDefault="00381D80"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Reserve agent for serious MRSA and VRE </w:t>
            </w:r>
            <w:r w:rsidR="004257AB" w:rsidRPr="00BD6C45">
              <w:rPr>
                <w:rFonts w:ascii="Arial Narrow" w:hAnsi="Arial Narrow" w:cs="Arial Narrow"/>
                <w:color w:val="000000"/>
                <w:sz w:val="21"/>
                <w:szCs w:val="21"/>
                <w:lang w:val="en-GB"/>
              </w:rPr>
              <w:t>infections</w:t>
            </w:r>
          </w:p>
        </w:tc>
        <w:tc>
          <w:tcPr>
            <w:cnfStyle w:val="000010000000" w:firstRow="0" w:lastRow="0" w:firstColumn="0" w:lastColumn="0" w:oddVBand="1" w:evenVBand="0" w:oddHBand="0" w:evenHBand="0" w:firstRowFirstColumn="0" w:firstRowLastColumn="0" w:lastRowFirstColumn="0" w:lastRowLastColumn="0"/>
            <w:tcW w:w="1560" w:type="dxa"/>
          </w:tcPr>
          <w:p w14:paraId="479BC91F" w14:textId="77777777" w:rsidR="00381D80" w:rsidRPr="00BD6C45" w:rsidRDefault="00381D80" w:rsidP="0087188A">
            <w:pPr>
              <w:pStyle w:val="Default1"/>
              <w:spacing w:line="276" w:lineRule="auto"/>
              <w:jc w:val="center"/>
              <w:rPr>
                <w:rFonts w:ascii="Arial Narrow" w:hAnsi="Arial Narrow" w:cs="Arial Narrow"/>
                <w:color w:val="000000"/>
                <w:sz w:val="21"/>
                <w:szCs w:val="21"/>
                <w:lang w:val="en-GB"/>
              </w:rPr>
            </w:pPr>
          </w:p>
        </w:tc>
      </w:tr>
      <w:tr w:rsidR="004257AB" w:rsidRPr="00BD6C45" w14:paraId="268B4B07" w14:textId="77777777" w:rsidTr="00BD6C45">
        <w:trPr>
          <w:trHeight w:val="251"/>
        </w:trPr>
        <w:tc>
          <w:tcPr>
            <w:cnfStyle w:val="000010000000" w:firstRow="0" w:lastRow="0" w:firstColumn="0" w:lastColumn="0" w:oddVBand="1" w:evenVBand="0" w:oddHBand="0" w:evenHBand="0" w:firstRowFirstColumn="0" w:firstRowLastColumn="0" w:lastRowFirstColumn="0" w:lastRowLastColumn="0"/>
            <w:tcW w:w="2797" w:type="dxa"/>
          </w:tcPr>
          <w:p w14:paraId="612A87B2" w14:textId="77777777" w:rsidR="004257AB" w:rsidRPr="00BD6C45" w:rsidRDefault="00DB6B54" w:rsidP="0087188A">
            <w:pPr>
              <w:pStyle w:val="Default1"/>
              <w:spacing w:line="276" w:lineRule="auto"/>
              <w:rPr>
                <w:rFonts w:ascii="Arial Narrow" w:hAnsi="Arial Narrow" w:cs="Arial Narrow"/>
                <w:b/>
                <w:color w:val="000000"/>
                <w:sz w:val="21"/>
                <w:szCs w:val="21"/>
                <w:lang w:val="en-GB"/>
              </w:rPr>
            </w:pPr>
            <w:r w:rsidRPr="00BD6C45">
              <w:rPr>
                <w:rFonts w:ascii="Arial Narrow" w:hAnsi="Arial Narrow" w:cs="Arial Narrow"/>
                <w:b/>
                <w:color w:val="000000"/>
                <w:sz w:val="21"/>
                <w:szCs w:val="21"/>
                <w:lang w:val="en-GB"/>
              </w:rPr>
              <w:t>Macrocyclic lactones</w:t>
            </w:r>
          </w:p>
        </w:tc>
        <w:tc>
          <w:tcPr>
            <w:tcW w:w="1278" w:type="dxa"/>
          </w:tcPr>
          <w:p w14:paraId="37A4B53F" w14:textId="77777777" w:rsidR="004257AB" w:rsidRPr="00BD6C45" w:rsidRDefault="004257AB" w:rsidP="0087188A">
            <w:pPr>
              <w:pStyle w:val="Default1"/>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994" w:type="dxa"/>
          </w:tcPr>
          <w:p w14:paraId="44C9F5D9" w14:textId="77777777" w:rsidR="004257AB" w:rsidRPr="00BD6C45" w:rsidRDefault="004257AB" w:rsidP="0087188A">
            <w:pPr>
              <w:pStyle w:val="Default1"/>
              <w:spacing w:line="276" w:lineRule="auto"/>
              <w:jc w:val="center"/>
              <w:rPr>
                <w:rFonts w:ascii="Arial Narrow" w:hAnsi="Arial Narrow" w:cs="Garamond"/>
                <w:color w:val="000000"/>
                <w:sz w:val="21"/>
                <w:szCs w:val="21"/>
                <w:lang w:val="en-GB"/>
              </w:rPr>
            </w:pPr>
          </w:p>
        </w:tc>
        <w:tc>
          <w:tcPr>
            <w:tcW w:w="3544" w:type="dxa"/>
          </w:tcPr>
          <w:p w14:paraId="12E95602" w14:textId="77777777" w:rsidR="004257AB" w:rsidRPr="00BD6C45" w:rsidRDefault="004257AB" w:rsidP="0087188A">
            <w:pPr>
              <w:pStyle w:val="Default1"/>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Narrow"/>
                <w:color w:val="00000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1C954BD7" w14:textId="77777777" w:rsidR="004257AB" w:rsidRPr="00BD6C45" w:rsidRDefault="004257AB" w:rsidP="0087188A">
            <w:pPr>
              <w:pStyle w:val="Default1"/>
              <w:spacing w:line="276" w:lineRule="auto"/>
              <w:jc w:val="center"/>
              <w:rPr>
                <w:rFonts w:ascii="Arial Narrow" w:hAnsi="Arial Narrow" w:cs="Arial Narrow"/>
                <w:color w:val="000000"/>
                <w:sz w:val="21"/>
                <w:szCs w:val="21"/>
                <w:lang w:val="en-GB"/>
              </w:rPr>
            </w:pPr>
          </w:p>
        </w:tc>
      </w:tr>
      <w:tr w:rsidR="00DB6B54" w:rsidRPr="00BD6C45" w14:paraId="0B8543AE" w14:textId="77777777" w:rsidTr="00BD6C4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797" w:type="dxa"/>
          </w:tcPr>
          <w:p w14:paraId="48CA0FCD" w14:textId="77777777" w:rsidR="00DB6B54" w:rsidRPr="00BD6C45" w:rsidRDefault="00DB6B54"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Fidaxomicin</w:t>
            </w:r>
          </w:p>
        </w:tc>
        <w:tc>
          <w:tcPr>
            <w:tcW w:w="1278" w:type="dxa"/>
          </w:tcPr>
          <w:p w14:paraId="0ACD1786" w14:textId="77777777" w:rsidR="00DB6B54" w:rsidRPr="00BD6C45" w:rsidRDefault="00DB6B54" w:rsidP="0087188A">
            <w:pPr>
              <w:pStyle w:val="Default1"/>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High</w:t>
            </w:r>
          </w:p>
        </w:tc>
        <w:tc>
          <w:tcPr>
            <w:cnfStyle w:val="000010000000" w:firstRow="0" w:lastRow="0" w:firstColumn="0" w:lastColumn="0" w:oddVBand="1" w:evenVBand="0" w:oddHBand="0" w:evenHBand="0" w:firstRowFirstColumn="0" w:firstRowLastColumn="0" w:lastRowFirstColumn="0" w:lastRowLastColumn="0"/>
            <w:tcW w:w="994" w:type="dxa"/>
          </w:tcPr>
          <w:p w14:paraId="790C204E" w14:textId="77777777" w:rsidR="00DB6B54" w:rsidRPr="00BD6C45" w:rsidRDefault="00DB6B54" w:rsidP="0087188A">
            <w:pPr>
              <w:pStyle w:val="Default1"/>
              <w:spacing w:line="276" w:lineRule="auto"/>
              <w:jc w:val="center"/>
              <w:rPr>
                <w:rFonts w:ascii="Arial Narrow" w:hAnsi="Arial Narrow" w:cs="Garamond"/>
                <w:color w:val="000000"/>
                <w:sz w:val="21"/>
                <w:szCs w:val="21"/>
                <w:lang w:val="en-GB"/>
              </w:rPr>
            </w:pPr>
            <w:r w:rsidRPr="00BD6C45">
              <w:rPr>
                <w:rFonts w:ascii="Arial Narrow" w:hAnsi="Arial Narrow" w:cs="Garamond"/>
                <w:color w:val="000000"/>
                <w:sz w:val="21"/>
                <w:szCs w:val="21"/>
                <w:lang w:val="en-GB"/>
              </w:rPr>
              <w:t>P0, T1, R4</w:t>
            </w:r>
          </w:p>
        </w:tc>
        <w:tc>
          <w:tcPr>
            <w:tcW w:w="3544" w:type="dxa"/>
          </w:tcPr>
          <w:p w14:paraId="61404C1E" w14:textId="77777777" w:rsidR="00DB6B54" w:rsidRPr="00BD6C45" w:rsidRDefault="00DB6B54" w:rsidP="0087188A">
            <w:pPr>
              <w:pStyle w:val="Default1"/>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Narrow"/>
                <w:color w:val="000000"/>
                <w:sz w:val="21"/>
                <w:szCs w:val="21"/>
                <w:lang w:val="en-GB"/>
              </w:rPr>
            </w:pPr>
            <w:r w:rsidRPr="00BD6C45">
              <w:rPr>
                <w:rFonts w:ascii="Arial Narrow" w:hAnsi="Arial Narrow" w:cs="Arial Narrow"/>
                <w:color w:val="000000"/>
                <w:sz w:val="21"/>
                <w:szCs w:val="21"/>
                <w:lang w:val="en-GB"/>
              </w:rPr>
              <w:t xml:space="preserve">Reserve agents for refractory </w:t>
            </w:r>
            <w:r w:rsidRPr="00BD6C45">
              <w:rPr>
                <w:rFonts w:ascii="Arial Narrow" w:hAnsi="Arial Narrow" w:cs="Arial Narrow"/>
                <w:i/>
                <w:color w:val="000000"/>
                <w:sz w:val="21"/>
                <w:szCs w:val="21"/>
                <w:lang w:val="en-GB"/>
              </w:rPr>
              <w:t>C. difficile</w:t>
            </w:r>
            <w:r w:rsidRPr="00BD6C45">
              <w:rPr>
                <w:rFonts w:ascii="Arial Narrow" w:hAnsi="Arial Narrow" w:cs="Arial Narrow"/>
                <w:color w:val="000000"/>
                <w:sz w:val="21"/>
                <w:szCs w:val="21"/>
                <w:lang w:val="en-GB"/>
              </w:rPr>
              <w:t xml:space="preserve"> infection</w:t>
            </w:r>
          </w:p>
        </w:tc>
        <w:tc>
          <w:tcPr>
            <w:cnfStyle w:val="000010000000" w:firstRow="0" w:lastRow="0" w:firstColumn="0" w:lastColumn="0" w:oddVBand="1" w:evenVBand="0" w:oddHBand="0" w:evenHBand="0" w:firstRowFirstColumn="0" w:firstRowLastColumn="0" w:lastRowFirstColumn="0" w:lastRowLastColumn="0"/>
            <w:tcW w:w="1560" w:type="dxa"/>
          </w:tcPr>
          <w:p w14:paraId="7AB4F76E" w14:textId="77777777" w:rsidR="00DB6B54" w:rsidRPr="00BD6C45" w:rsidRDefault="00DB6B54" w:rsidP="0087188A">
            <w:pPr>
              <w:pStyle w:val="Default1"/>
              <w:spacing w:line="276" w:lineRule="auto"/>
              <w:jc w:val="center"/>
              <w:rPr>
                <w:rFonts w:ascii="Arial Narrow" w:hAnsi="Arial Narrow" w:cs="Arial Narrow"/>
                <w:color w:val="000000"/>
                <w:sz w:val="21"/>
                <w:szCs w:val="21"/>
                <w:lang w:val="en-GB"/>
              </w:rPr>
            </w:pPr>
          </w:p>
        </w:tc>
      </w:tr>
    </w:tbl>
    <w:p w14:paraId="4CE5FD00" w14:textId="77777777" w:rsidR="00122735" w:rsidRPr="00BD6C45" w:rsidRDefault="00122735" w:rsidP="00933BC2">
      <w:pPr>
        <w:pStyle w:val="Default"/>
        <w:spacing w:after="80"/>
        <w:ind w:left="284" w:hanging="284"/>
        <w:rPr>
          <w:rFonts w:ascii="Arial Narrow" w:hAnsi="Arial Narrow"/>
          <w:sz w:val="21"/>
          <w:szCs w:val="21"/>
          <w:lang w:val="en-GB"/>
        </w:rPr>
      </w:pPr>
    </w:p>
    <w:p w14:paraId="2446F852" w14:textId="20B45BE9" w:rsidR="00381D80" w:rsidRPr="00BD6C45" w:rsidRDefault="00381D80" w:rsidP="00933BC2">
      <w:pPr>
        <w:pStyle w:val="Default"/>
        <w:spacing w:after="80"/>
        <w:ind w:left="284" w:hanging="284"/>
        <w:rPr>
          <w:rFonts w:ascii="Arial Narrow" w:hAnsi="Arial Narrow"/>
          <w:sz w:val="21"/>
          <w:szCs w:val="21"/>
          <w:lang w:val="en-GB"/>
        </w:rPr>
      </w:pPr>
      <w:r w:rsidRPr="00BD6C45">
        <w:rPr>
          <w:rFonts w:ascii="Arial Narrow" w:hAnsi="Arial Narrow"/>
          <w:sz w:val="21"/>
          <w:szCs w:val="21"/>
          <w:lang w:val="en-GB"/>
        </w:rPr>
        <w:t xml:space="preserve">1 </w:t>
      </w:r>
      <w:r w:rsidR="00933BC2" w:rsidRPr="00BD6C45">
        <w:rPr>
          <w:rFonts w:ascii="Arial Narrow" w:hAnsi="Arial Narrow"/>
          <w:sz w:val="21"/>
          <w:szCs w:val="21"/>
          <w:lang w:val="en-GB"/>
        </w:rPr>
        <w:tab/>
      </w:r>
      <w:r w:rsidRPr="00BD6C45">
        <w:rPr>
          <w:rFonts w:ascii="Arial Narrow" w:hAnsi="Arial Narrow"/>
          <w:sz w:val="21"/>
          <w:szCs w:val="21"/>
          <w:lang w:val="en-GB"/>
        </w:rPr>
        <w:t>The importance of the drug class to the treatment of infections in humans, and the seriousness of the consequen</w:t>
      </w:r>
      <w:r w:rsidR="00901CAB" w:rsidRPr="00BD6C45">
        <w:rPr>
          <w:rFonts w:ascii="Arial Narrow" w:hAnsi="Arial Narrow"/>
          <w:sz w:val="21"/>
          <w:szCs w:val="21"/>
          <w:lang w:val="en-GB"/>
        </w:rPr>
        <w:t>ces of emergence of resistance.</w:t>
      </w:r>
    </w:p>
    <w:p w14:paraId="08FC418E" w14:textId="59DD26BC" w:rsidR="00F265B4" w:rsidRPr="00BD6C45" w:rsidRDefault="00901CAB" w:rsidP="00933BC2">
      <w:pPr>
        <w:pStyle w:val="Default"/>
        <w:spacing w:after="80"/>
        <w:ind w:left="284" w:hanging="284"/>
        <w:rPr>
          <w:rFonts w:ascii="Arial Narrow" w:hAnsi="Arial Narrow"/>
          <w:sz w:val="21"/>
          <w:szCs w:val="21"/>
          <w:lang w:val="en-GB"/>
        </w:rPr>
      </w:pPr>
      <w:r w:rsidRPr="00BD6C45">
        <w:rPr>
          <w:rFonts w:ascii="Arial Narrow" w:hAnsi="Arial Narrow"/>
          <w:sz w:val="21"/>
          <w:szCs w:val="21"/>
          <w:lang w:val="en-GB"/>
        </w:rPr>
        <w:t>2.</w:t>
      </w:r>
      <w:r w:rsidR="00F265B4" w:rsidRPr="00BD6C45">
        <w:rPr>
          <w:rFonts w:ascii="Arial Narrow" w:hAnsi="Arial Narrow"/>
          <w:sz w:val="21"/>
          <w:szCs w:val="21"/>
          <w:lang w:val="en-GB"/>
        </w:rPr>
        <w:t xml:space="preserve"> </w:t>
      </w:r>
      <w:r w:rsidR="00933BC2" w:rsidRPr="00BD6C45">
        <w:rPr>
          <w:rFonts w:ascii="Arial Narrow" w:hAnsi="Arial Narrow"/>
          <w:sz w:val="21"/>
          <w:szCs w:val="21"/>
          <w:lang w:val="en-GB"/>
        </w:rPr>
        <w:tab/>
      </w:r>
      <w:r w:rsidR="00F265B4" w:rsidRPr="00BD6C45">
        <w:rPr>
          <w:rFonts w:ascii="Arial Narrow" w:hAnsi="Arial Narrow"/>
          <w:sz w:val="21"/>
          <w:szCs w:val="21"/>
          <w:lang w:val="en-GB"/>
        </w:rPr>
        <w:t xml:space="preserve">Listed uses don’t necessarily align with the TGA-registered uses, due </w:t>
      </w:r>
      <w:r w:rsidR="005315AC" w:rsidRPr="00BD6C45">
        <w:rPr>
          <w:rFonts w:ascii="Arial Narrow" w:hAnsi="Arial Narrow"/>
          <w:sz w:val="21"/>
          <w:szCs w:val="21"/>
          <w:lang w:val="en-GB"/>
        </w:rPr>
        <w:t xml:space="preserve">to the </w:t>
      </w:r>
      <w:r w:rsidR="00F265B4" w:rsidRPr="00BD6C45">
        <w:rPr>
          <w:rFonts w:ascii="Arial Narrow" w:hAnsi="Arial Narrow"/>
          <w:sz w:val="21"/>
          <w:szCs w:val="21"/>
          <w:lang w:val="en-GB"/>
        </w:rPr>
        <w:t>slow evolution of indications</w:t>
      </w:r>
      <w:r w:rsidR="000D1C68" w:rsidRPr="00BD6C45">
        <w:rPr>
          <w:rFonts w:ascii="Arial Narrow" w:hAnsi="Arial Narrow"/>
          <w:sz w:val="21"/>
          <w:szCs w:val="21"/>
          <w:lang w:val="en-GB"/>
        </w:rPr>
        <w:t xml:space="preserve"> </w:t>
      </w:r>
      <w:r w:rsidR="00F265B4" w:rsidRPr="00BD6C45">
        <w:rPr>
          <w:rFonts w:ascii="Arial Narrow" w:hAnsi="Arial Narrow"/>
          <w:sz w:val="21"/>
          <w:szCs w:val="21"/>
          <w:lang w:val="en-GB"/>
        </w:rPr>
        <w:t>after registration. Most closely aligned with Therapeutic Guidelines—Antibiotic</w:t>
      </w:r>
      <w:r w:rsidRPr="00BD6C45">
        <w:rPr>
          <w:rFonts w:ascii="Arial Narrow" w:hAnsi="Arial Narrow"/>
          <w:sz w:val="21"/>
          <w:szCs w:val="21"/>
          <w:lang w:val="en-GB"/>
        </w:rPr>
        <w:t xml:space="preserve"> </w:t>
      </w:r>
    </w:p>
    <w:p w14:paraId="5EA15F4B" w14:textId="4A6DA3F6" w:rsidR="00F265B4" w:rsidRPr="00BD6C45" w:rsidRDefault="00DE4440" w:rsidP="00933BC2">
      <w:pPr>
        <w:pStyle w:val="Default"/>
        <w:spacing w:after="80"/>
        <w:ind w:left="284" w:hanging="284"/>
        <w:rPr>
          <w:rFonts w:ascii="Arial Narrow" w:hAnsi="Arial Narrow"/>
          <w:sz w:val="21"/>
          <w:szCs w:val="21"/>
          <w:lang w:val="en-GB"/>
        </w:rPr>
      </w:pPr>
      <w:r w:rsidRPr="00BD6C45">
        <w:rPr>
          <w:rFonts w:ascii="Arial Narrow" w:hAnsi="Arial Narrow"/>
          <w:sz w:val="21"/>
          <w:szCs w:val="21"/>
          <w:lang w:val="en-GB"/>
        </w:rPr>
        <w:t xml:space="preserve">3. </w:t>
      </w:r>
      <w:r w:rsidR="00933BC2" w:rsidRPr="00BD6C45">
        <w:rPr>
          <w:rFonts w:ascii="Arial Narrow" w:hAnsi="Arial Narrow"/>
          <w:sz w:val="21"/>
          <w:szCs w:val="21"/>
          <w:lang w:val="en-GB"/>
        </w:rPr>
        <w:tab/>
      </w:r>
      <w:r w:rsidR="00F265B4" w:rsidRPr="00BD6C45">
        <w:rPr>
          <w:rFonts w:ascii="Arial Narrow" w:hAnsi="Arial Narrow"/>
          <w:sz w:val="21"/>
          <w:szCs w:val="21"/>
          <w:lang w:val="en-GB"/>
        </w:rPr>
        <w:t>Not TGA-registered, but used through the Special Access Scheme</w:t>
      </w:r>
    </w:p>
    <w:p w14:paraId="3E7E20F3" w14:textId="6B380009" w:rsidR="00D63DD1" w:rsidRPr="00BD6C45" w:rsidRDefault="00D63DD1" w:rsidP="00933BC2">
      <w:pPr>
        <w:pStyle w:val="Default"/>
        <w:spacing w:after="80"/>
        <w:ind w:left="284" w:hanging="284"/>
        <w:rPr>
          <w:rFonts w:ascii="Arial Narrow" w:hAnsi="Arial Narrow"/>
          <w:sz w:val="21"/>
          <w:szCs w:val="21"/>
          <w:lang w:val="en-GB"/>
        </w:rPr>
      </w:pPr>
      <w:r w:rsidRPr="00BD6C45">
        <w:rPr>
          <w:rFonts w:ascii="Arial Narrow" w:hAnsi="Arial Narrow"/>
          <w:sz w:val="21"/>
          <w:szCs w:val="21"/>
          <w:lang w:val="en-GB"/>
        </w:rPr>
        <w:t xml:space="preserve">4. </w:t>
      </w:r>
      <w:r w:rsidR="00933BC2" w:rsidRPr="00BD6C45">
        <w:rPr>
          <w:rFonts w:ascii="Arial Narrow" w:hAnsi="Arial Narrow"/>
          <w:sz w:val="21"/>
          <w:szCs w:val="21"/>
          <w:lang w:val="en-GB"/>
        </w:rPr>
        <w:tab/>
      </w:r>
      <w:r w:rsidRPr="00BD6C45">
        <w:rPr>
          <w:rFonts w:ascii="Arial Narrow" w:hAnsi="Arial Narrow"/>
          <w:sz w:val="21"/>
          <w:szCs w:val="21"/>
          <w:lang w:val="en-GB"/>
        </w:rPr>
        <w:t>Generally for topical use in companion and recreational animals</w:t>
      </w:r>
    </w:p>
    <w:p w14:paraId="5E665A25" w14:textId="77777777" w:rsidR="00933BC2" w:rsidRPr="00BD6C45" w:rsidRDefault="00933BC2" w:rsidP="00E560F5">
      <w:pPr>
        <w:pStyle w:val="Default1"/>
        <w:ind w:left="720" w:hanging="720"/>
        <w:rPr>
          <w:rFonts w:ascii="Arial Narrow" w:hAnsi="Arial Narrow" w:cs="Arial"/>
          <w:sz w:val="21"/>
          <w:szCs w:val="21"/>
          <w:u w:val="single"/>
          <w:lang w:val="en-GB"/>
        </w:rPr>
      </w:pPr>
    </w:p>
    <w:p w14:paraId="2ACA720B" w14:textId="0606FD71" w:rsidR="00381D80" w:rsidRPr="00BD6C45" w:rsidRDefault="00381D80" w:rsidP="00737119">
      <w:pPr>
        <w:pStyle w:val="Default1"/>
        <w:rPr>
          <w:rFonts w:ascii="Arial Narrow" w:hAnsi="Arial Narrow" w:cs="Arial"/>
          <w:sz w:val="21"/>
          <w:szCs w:val="21"/>
          <w:lang w:val="en-GB"/>
        </w:rPr>
      </w:pPr>
      <w:r w:rsidRPr="00BD6C45">
        <w:rPr>
          <w:rFonts w:ascii="Arial Narrow" w:hAnsi="Arial Narrow" w:cs="Arial"/>
          <w:sz w:val="21"/>
          <w:szCs w:val="21"/>
          <w:u w:val="single"/>
          <w:lang w:val="en-GB"/>
        </w:rPr>
        <w:t>Abbreviations</w:t>
      </w:r>
      <w:r w:rsidRPr="00BD6C45">
        <w:rPr>
          <w:rFonts w:ascii="Arial Narrow" w:hAnsi="Arial Narrow" w:cs="Arial"/>
          <w:sz w:val="21"/>
          <w:szCs w:val="21"/>
          <w:lang w:val="en-GB"/>
        </w:rPr>
        <w:t>: UTI = urinary trac</w:t>
      </w:r>
      <w:r w:rsidR="00ED78C3">
        <w:rPr>
          <w:rFonts w:ascii="Arial Narrow" w:hAnsi="Arial Narrow" w:cs="Arial"/>
          <w:sz w:val="21"/>
          <w:szCs w:val="21"/>
          <w:lang w:val="en-GB"/>
        </w:rPr>
        <w:t>t infections; TB = tuberculosis;</w:t>
      </w:r>
      <w:r w:rsidRPr="00BD6C45">
        <w:rPr>
          <w:rFonts w:ascii="Arial Narrow" w:hAnsi="Arial Narrow" w:cs="Arial"/>
          <w:sz w:val="21"/>
          <w:szCs w:val="21"/>
          <w:lang w:val="en-GB"/>
        </w:rPr>
        <w:t xml:space="preserve"> MRSA = methicillin-resistant </w:t>
      </w:r>
      <w:r w:rsidRPr="00BD6C45">
        <w:rPr>
          <w:rFonts w:ascii="Arial Narrow" w:hAnsi="Arial Narrow" w:cs="Arial"/>
          <w:i/>
          <w:iCs/>
          <w:sz w:val="21"/>
          <w:szCs w:val="21"/>
          <w:lang w:val="en-GB"/>
        </w:rPr>
        <w:t>Staphylococcus aureus</w:t>
      </w:r>
      <w:r w:rsidRPr="00BD6C45">
        <w:rPr>
          <w:rFonts w:ascii="Arial Narrow" w:hAnsi="Arial Narrow" w:cs="Arial"/>
          <w:iCs/>
          <w:sz w:val="21"/>
          <w:szCs w:val="21"/>
          <w:lang w:val="en-GB"/>
        </w:rPr>
        <w:t>;</w:t>
      </w:r>
      <w:r w:rsidR="00DB6B54" w:rsidRPr="00BD6C45">
        <w:rPr>
          <w:rFonts w:ascii="Arial Narrow" w:hAnsi="Arial Narrow" w:cs="Arial"/>
          <w:sz w:val="21"/>
          <w:szCs w:val="21"/>
          <w:lang w:val="en-GB"/>
        </w:rPr>
        <w:t xml:space="preserve"> VRE = vancomycin resistant </w:t>
      </w:r>
      <w:r w:rsidR="00DB6B54" w:rsidRPr="00BD6C45">
        <w:rPr>
          <w:rFonts w:ascii="Arial Narrow" w:hAnsi="Arial Narrow" w:cs="Arial"/>
          <w:i/>
          <w:iCs/>
          <w:sz w:val="21"/>
          <w:szCs w:val="21"/>
          <w:lang w:val="en-GB"/>
        </w:rPr>
        <w:t>Enterococcus</w:t>
      </w:r>
      <w:r w:rsidR="00DB6B54" w:rsidRPr="00BD6C45">
        <w:rPr>
          <w:rFonts w:ascii="Arial Narrow" w:hAnsi="Arial Narrow" w:cs="Arial"/>
          <w:sz w:val="21"/>
          <w:szCs w:val="21"/>
          <w:lang w:val="en-GB"/>
        </w:rPr>
        <w:t xml:space="preserve"> species</w:t>
      </w:r>
    </w:p>
    <w:p w14:paraId="3385C86B" w14:textId="6EF0360A" w:rsidR="00381D80" w:rsidRDefault="00F265B4" w:rsidP="00E22BE1">
      <w:pPr>
        <w:widowControl/>
        <w:autoSpaceDE/>
        <w:autoSpaceDN/>
        <w:adjustRightInd/>
        <w:rPr>
          <w:rFonts w:ascii="Arial Narrow" w:hAnsi="Arial Narrow"/>
          <w:sz w:val="32"/>
          <w:lang w:val="en-GB"/>
        </w:rPr>
      </w:pPr>
      <w:r>
        <w:rPr>
          <w:b/>
          <w:bCs/>
          <w:sz w:val="32"/>
          <w:szCs w:val="32"/>
          <w:lang w:val="en-GB"/>
        </w:rPr>
        <w:br w:type="page"/>
      </w:r>
      <w:bookmarkStart w:id="5" w:name="_Toc441841819"/>
      <w:r w:rsidR="00381D80" w:rsidRPr="004A22B9">
        <w:rPr>
          <w:rFonts w:ascii="Arial Narrow" w:hAnsi="Arial Narrow"/>
          <w:sz w:val="32"/>
          <w:lang w:val="en-GB"/>
        </w:rPr>
        <w:lastRenderedPageBreak/>
        <w:t>LEGEND for TABLE 1</w:t>
      </w:r>
      <w:bookmarkEnd w:id="5"/>
      <w:r w:rsidR="00381D80" w:rsidRPr="004A22B9">
        <w:rPr>
          <w:rFonts w:ascii="Arial Narrow" w:hAnsi="Arial Narrow"/>
          <w:sz w:val="32"/>
          <w:lang w:val="en-GB"/>
        </w:rPr>
        <w:t xml:space="preserve"> </w:t>
      </w:r>
    </w:p>
    <w:p w14:paraId="0A309E96" w14:textId="77777777" w:rsidR="0087188A" w:rsidRPr="0087188A" w:rsidRDefault="0087188A" w:rsidP="0087188A">
      <w:pPr>
        <w:pStyle w:val="Default"/>
        <w:rPr>
          <w:lang w:val="en-GB"/>
        </w:rPr>
      </w:pPr>
    </w:p>
    <w:p w14:paraId="2E668218" w14:textId="77777777" w:rsidR="00381D80" w:rsidRPr="00933BC2" w:rsidRDefault="00381D80" w:rsidP="00E560F5">
      <w:pPr>
        <w:pStyle w:val="CM8"/>
        <w:rPr>
          <w:rFonts w:ascii="Arial Narrow" w:hAnsi="Arial Narrow"/>
          <w:sz w:val="25"/>
          <w:szCs w:val="25"/>
          <w:lang w:val="en-GB"/>
        </w:rPr>
      </w:pPr>
      <w:r w:rsidRPr="00933BC2">
        <w:rPr>
          <w:rFonts w:ascii="Arial Narrow" w:hAnsi="Arial Narrow"/>
          <w:b/>
          <w:bCs/>
          <w:sz w:val="25"/>
          <w:szCs w:val="25"/>
          <w:lang w:val="en-GB"/>
        </w:rPr>
        <w:t xml:space="preserve">AMRSC Importance Rating </w:t>
      </w:r>
      <w:r w:rsidRPr="00933BC2">
        <w:rPr>
          <w:rFonts w:ascii="Arial Narrow" w:hAnsi="Arial Narrow"/>
          <w:sz w:val="25"/>
          <w:szCs w:val="25"/>
          <w:lang w:val="en-GB"/>
        </w:rPr>
        <w:t xml:space="preserve"> </w:t>
      </w:r>
    </w:p>
    <w:p w14:paraId="2D99A8AA" w14:textId="77777777" w:rsidR="00381D80" w:rsidRPr="0087188A" w:rsidRDefault="00381D80" w:rsidP="00E560F5">
      <w:pPr>
        <w:pStyle w:val="CM5"/>
        <w:ind w:left="568"/>
        <w:rPr>
          <w:rFonts w:ascii="Arial Narrow" w:hAnsi="Arial Narrow"/>
          <w:sz w:val="22"/>
          <w:szCs w:val="22"/>
          <w:lang w:val="en-GB"/>
        </w:rPr>
      </w:pPr>
      <w:r w:rsidRPr="0087188A">
        <w:rPr>
          <w:rFonts w:ascii="Arial Narrow" w:hAnsi="Arial Narrow"/>
          <w:b/>
          <w:bCs/>
          <w:sz w:val="22"/>
          <w:szCs w:val="22"/>
          <w:lang w:val="en-GB"/>
        </w:rPr>
        <w:t>High</w:t>
      </w:r>
    </w:p>
    <w:p w14:paraId="7AE84258" w14:textId="0BA86883" w:rsidR="00381D80" w:rsidRPr="0087188A" w:rsidRDefault="00381D80" w:rsidP="00E560F5">
      <w:pPr>
        <w:pStyle w:val="CM8"/>
        <w:ind w:left="568" w:right="210"/>
        <w:rPr>
          <w:rFonts w:ascii="Arial Narrow" w:hAnsi="Arial Narrow"/>
          <w:sz w:val="22"/>
          <w:szCs w:val="22"/>
          <w:lang w:val="en-GB"/>
        </w:rPr>
      </w:pPr>
      <w:r w:rsidRPr="0087188A">
        <w:rPr>
          <w:rFonts w:ascii="Arial Narrow" w:hAnsi="Arial Narrow"/>
          <w:sz w:val="22"/>
          <w:szCs w:val="22"/>
          <w:lang w:val="en-GB"/>
        </w:rPr>
        <w:t xml:space="preserve">These are essential </w:t>
      </w:r>
      <w:r w:rsidR="00286528" w:rsidRPr="0087188A">
        <w:rPr>
          <w:rFonts w:ascii="Arial Narrow" w:hAnsi="Arial Narrow"/>
          <w:sz w:val="22"/>
          <w:szCs w:val="22"/>
          <w:lang w:val="en-GB"/>
        </w:rPr>
        <w:t>antibacterials</w:t>
      </w:r>
      <w:r w:rsidRPr="0087188A">
        <w:rPr>
          <w:rFonts w:ascii="Arial Narrow" w:hAnsi="Arial Narrow"/>
          <w:sz w:val="22"/>
          <w:szCs w:val="22"/>
          <w:lang w:val="en-GB"/>
        </w:rPr>
        <w:t xml:space="preserve"> for treatment of human infections where there are few or no alternatives for many infections. Also have been called “critical”, “last-resort” or “last line” </w:t>
      </w:r>
      <w:r w:rsidR="00286528" w:rsidRPr="0087188A">
        <w:rPr>
          <w:rFonts w:ascii="Arial Narrow" w:hAnsi="Arial Narrow"/>
          <w:sz w:val="22"/>
          <w:szCs w:val="22"/>
          <w:lang w:val="en-GB"/>
        </w:rPr>
        <w:t>antibacterials</w:t>
      </w:r>
      <w:r w:rsidRPr="0087188A">
        <w:rPr>
          <w:rFonts w:ascii="Arial Narrow" w:hAnsi="Arial Narrow"/>
          <w:sz w:val="22"/>
          <w:szCs w:val="22"/>
          <w:lang w:val="en-GB"/>
        </w:rPr>
        <w:t xml:space="preserve">.  </w:t>
      </w:r>
    </w:p>
    <w:p w14:paraId="3B4619D6" w14:textId="77777777" w:rsidR="00381D80" w:rsidRPr="0087188A" w:rsidRDefault="00381D80" w:rsidP="00E560F5">
      <w:pPr>
        <w:pStyle w:val="CM5"/>
        <w:ind w:left="568"/>
        <w:rPr>
          <w:rFonts w:ascii="Arial Narrow" w:hAnsi="Arial Narrow"/>
          <w:sz w:val="22"/>
          <w:szCs w:val="22"/>
          <w:lang w:val="en-GB"/>
        </w:rPr>
      </w:pPr>
      <w:r w:rsidRPr="0087188A">
        <w:rPr>
          <w:rFonts w:ascii="Arial Narrow" w:hAnsi="Arial Narrow"/>
          <w:b/>
          <w:bCs/>
          <w:sz w:val="22"/>
          <w:szCs w:val="22"/>
          <w:lang w:val="en-GB"/>
        </w:rPr>
        <w:t>Medium</w:t>
      </w:r>
    </w:p>
    <w:p w14:paraId="0B5A07ED" w14:textId="77777777" w:rsidR="00381D80" w:rsidRPr="0087188A" w:rsidRDefault="00381D80" w:rsidP="00E560F5">
      <w:pPr>
        <w:pStyle w:val="CM8"/>
        <w:ind w:left="568"/>
        <w:rPr>
          <w:rFonts w:ascii="Arial Narrow" w:hAnsi="Arial Narrow"/>
          <w:sz w:val="22"/>
          <w:szCs w:val="22"/>
          <w:lang w:val="en-GB"/>
        </w:rPr>
      </w:pPr>
      <w:r w:rsidRPr="0087188A">
        <w:rPr>
          <w:rFonts w:ascii="Arial Narrow" w:hAnsi="Arial Narrow"/>
          <w:sz w:val="22"/>
          <w:szCs w:val="22"/>
          <w:lang w:val="en-GB"/>
        </w:rPr>
        <w:t xml:space="preserve">There are other alternatives available but less than for those classified as Low. </w:t>
      </w:r>
    </w:p>
    <w:p w14:paraId="17EED921" w14:textId="77777777" w:rsidR="00381D80" w:rsidRPr="0087188A" w:rsidRDefault="00381D80" w:rsidP="00E560F5">
      <w:pPr>
        <w:pStyle w:val="CM5"/>
        <w:ind w:left="568"/>
        <w:rPr>
          <w:rFonts w:ascii="Arial Narrow" w:hAnsi="Arial Narrow"/>
          <w:sz w:val="22"/>
          <w:szCs w:val="22"/>
          <w:lang w:val="en-GB"/>
        </w:rPr>
      </w:pPr>
      <w:r w:rsidRPr="0087188A">
        <w:rPr>
          <w:rFonts w:ascii="Arial Narrow" w:hAnsi="Arial Narrow"/>
          <w:b/>
          <w:bCs/>
          <w:sz w:val="22"/>
          <w:szCs w:val="22"/>
          <w:lang w:val="en-GB"/>
        </w:rPr>
        <w:t>Low</w:t>
      </w:r>
    </w:p>
    <w:p w14:paraId="410C8C26" w14:textId="05688D00" w:rsidR="00381D80" w:rsidRPr="0087188A" w:rsidRDefault="00381D80" w:rsidP="00E560F5">
      <w:pPr>
        <w:pStyle w:val="CM8"/>
        <w:ind w:left="568" w:right="290"/>
        <w:rPr>
          <w:rFonts w:ascii="Arial Narrow" w:hAnsi="Arial Narrow"/>
          <w:sz w:val="22"/>
          <w:szCs w:val="22"/>
          <w:lang w:val="en-GB"/>
        </w:rPr>
      </w:pPr>
      <w:r w:rsidRPr="0087188A">
        <w:rPr>
          <w:rFonts w:ascii="Arial Narrow" w:hAnsi="Arial Narrow"/>
          <w:sz w:val="22"/>
          <w:szCs w:val="22"/>
          <w:lang w:val="en-GB"/>
        </w:rPr>
        <w:t xml:space="preserve">There are a reasonable number of alternative agents in different classes available to treat most infections even if </w:t>
      </w:r>
      <w:r w:rsidR="00286528" w:rsidRPr="0087188A">
        <w:rPr>
          <w:rFonts w:ascii="Arial Narrow" w:hAnsi="Arial Narrow"/>
          <w:sz w:val="22"/>
          <w:szCs w:val="22"/>
          <w:lang w:val="en-GB"/>
        </w:rPr>
        <w:t>antibacterial</w:t>
      </w:r>
      <w:r w:rsidRPr="0087188A">
        <w:rPr>
          <w:rFonts w:ascii="Arial Narrow" w:hAnsi="Arial Narrow"/>
          <w:sz w:val="22"/>
          <w:szCs w:val="22"/>
          <w:lang w:val="en-GB"/>
        </w:rPr>
        <w:t xml:space="preserve"> resistance develops. </w:t>
      </w:r>
    </w:p>
    <w:p w14:paraId="19695A62" w14:textId="77777777" w:rsidR="00381D80" w:rsidRPr="0087188A" w:rsidRDefault="00381D80" w:rsidP="00E560F5">
      <w:pPr>
        <w:pStyle w:val="Default1"/>
        <w:rPr>
          <w:rFonts w:ascii="Arial Narrow" w:hAnsi="Arial Narrow"/>
          <w:sz w:val="22"/>
          <w:szCs w:val="22"/>
          <w:lang w:val="en-GB"/>
        </w:rPr>
      </w:pPr>
      <w:r w:rsidRPr="0087188A">
        <w:rPr>
          <w:rFonts w:ascii="Arial Narrow" w:hAnsi="Arial Narrow"/>
          <w:b/>
          <w:bCs/>
          <w:sz w:val="22"/>
          <w:szCs w:val="22"/>
          <w:lang w:val="en-GB"/>
        </w:rPr>
        <w:t>Human Uses</w:t>
      </w:r>
    </w:p>
    <w:p w14:paraId="79BD2D80" w14:textId="14FBA8BC" w:rsidR="00381D80" w:rsidRPr="0087188A" w:rsidRDefault="00381D80" w:rsidP="00E560F5">
      <w:pPr>
        <w:pStyle w:val="CM2"/>
        <w:rPr>
          <w:rFonts w:ascii="Arial Narrow" w:hAnsi="Arial Narrow"/>
          <w:sz w:val="22"/>
          <w:szCs w:val="22"/>
          <w:lang w:val="en-GB"/>
        </w:rPr>
      </w:pPr>
      <w:r w:rsidRPr="0087188A">
        <w:rPr>
          <w:rFonts w:ascii="Arial Narrow" w:hAnsi="Arial Narrow"/>
          <w:sz w:val="22"/>
          <w:szCs w:val="22"/>
          <w:lang w:val="en-GB"/>
        </w:rPr>
        <w:t xml:space="preserve">These reflect the current use of these </w:t>
      </w:r>
      <w:r w:rsidR="00286528" w:rsidRPr="0087188A">
        <w:rPr>
          <w:rFonts w:ascii="Arial Narrow" w:hAnsi="Arial Narrow"/>
          <w:sz w:val="22"/>
          <w:szCs w:val="22"/>
          <w:lang w:val="en-GB"/>
        </w:rPr>
        <w:t>antibacterials</w:t>
      </w:r>
      <w:r w:rsidRPr="0087188A">
        <w:rPr>
          <w:rFonts w:ascii="Arial Narrow" w:hAnsi="Arial Narrow"/>
          <w:sz w:val="22"/>
          <w:szCs w:val="22"/>
          <w:lang w:val="en-GB"/>
        </w:rPr>
        <w:t xml:space="preserve"> in Australia in human medicine.</w:t>
      </w:r>
    </w:p>
    <w:p w14:paraId="698787C6" w14:textId="77777777" w:rsidR="00381D80" w:rsidRPr="0087188A" w:rsidRDefault="00381D80" w:rsidP="00E560F5">
      <w:pPr>
        <w:pStyle w:val="Default1"/>
        <w:rPr>
          <w:rFonts w:ascii="Arial Narrow" w:hAnsi="Arial Narrow" w:cs="Garamond"/>
          <w:sz w:val="22"/>
          <w:szCs w:val="22"/>
          <w:lang w:val="en-GB"/>
        </w:rPr>
      </w:pPr>
      <w:r w:rsidRPr="0087188A">
        <w:rPr>
          <w:rFonts w:ascii="Arial Narrow" w:hAnsi="Arial Narrow" w:cs="Garamond"/>
          <w:sz w:val="22"/>
          <w:szCs w:val="22"/>
          <w:lang w:val="en-GB"/>
        </w:rPr>
        <w:t xml:space="preserve"> </w:t>
      </w:r>
    </w:p>
    <w:p w14:paraId="0F70B5F0" w14:textId="77777777" w:rsidR="00381D80" w:rsidRPr="0087188A" w:rsidRDefault="00381D80" w:rsidP="00E560F5">
      <w:pPr>
        <w:pStyle w:val="CM6"/>
        <w:ind w:left="568"/>
        <w:rPr>
          <w:rFonts w:ascii="Arial Narrow" w:hAnsi="Arial Narrow"/>
          <w:sz w:val="22"/>
          <w:szCs w:val="22"/>
          <w:lang w:val="en-GB"/>
        </w:rPr>
      </w:pPr>
      <w:r w:rsidRPr="0087188A">
        <w:rPr>
          <w:rFonts w:ascii="Arial Narrow" w:hAnsi="Arial Narrow"/>
          <w:b/>
          <w:bCs/>
          <w:sz w:val="22"/>
          <w:szCs w:val="22"/>
          <w:lang w:val="en-GB"/>
        </w:rPr>
        <w:t>P: prophylactic use</w:t>
      </w:r>
      <w:r w:rsidRPr="0087188A">
        <w:rPr>
          <w:rFonts w:ascii="Arial Narrow" w:hAnsi="Arial Narrow"/>
          <w:sz w:val="22"/>
          <w:szCs w:val="22"/>
          <w:lang w:val="en-GB"/>
        </w:rPr>
        <w:t xml:space="preserve"> </w:t>
      </w:r>
    </w:p>
    <w:p w14:paraId="72006717" w14:textId="11382293" w:rsidR="00381D80" w:rsidRPr="0087188A" w:rsidRDefault="00381D80" w:rsidP="00933BC2">
      <w:pPr>
        <w:pStyle w:val="CM8"/>
        <w:spacing w:after="0"/>
        <w:ind w:left="1560" w:hanging="567"/>
        <w:rPr>
          <w:rFonts w:ascii="Arial Narrow" w:hAnsi="Arial Narrow"/>
          <w:sz w:val="22"/>
          <w:szCs w:val="22"/>
          <w:lang w:val="en-GB"/>
        </w:rPr>
      </w:pPr>
      <w:r w:rsidRPr="0087188A">
        <w:rPr>
          <w:rFonts w:ascii="Arial Narrow" w:hAnsi="Arial Narrow"/>
          <w:sz w:val="22"/>
          <w:szCs w:val="22"/>
          <w:lang w:val="en-GB"/>
        </w:rPr>
        <w:t>0 = not recommended for prophylactic use; 1 = rarely used; 2 = moderate; 3 = frequent or major use</w:t>
      </w:r>
    </w:p>
    <w:p w14:paraId="32F71C69" w14:textId="77777777" w:rsidR="00F265B4" w:rsidRPr="0087188A" w:rsidRDefault="00F265B4" w:rsidP="00F265B4">
      <w:pPr>
        <w:pStyle w:val="Default"/>
        <w:rPr>
          <w:rFonts w:ascii="Arial Narrow" w:hAnsi="Arial Narrow"/>
          <w:sz w:val="22"/>
          <w:szCs w:val="22"/>
          <w:lang w:val="en-GB"/>
        </w:rPr>
      </w:pPr>
    </w:p>
    <w:p w14:paraId="147FD252" w14:textId="77777777" w:rsidR="00381D80" w:rsidRPr="0087188A" w:rsidRDefault="00381D80" w:rsidP="00E560F5">
      <w:pPr>
        <w:pStyle w:val="CM6"/>
        <w:ind w:left="568"/>
        <w:rPr>
          <w:rFonts w:ascii="Arial Narrow" w:hAnsi="Arial Narrow"/>
          <w:sz w:val="22"/>
          <w:szCs w:val="22"/>
          <w:lang w:val="en-GB"/>
        </w:rPr>
      </w:pPr>
      <w:r w:rsidRPr="0087188A">
        <w:rPr>
          <w:rFonts w:ascii="Arial Narrow" w:hAnsi="Arial Narrow"/>
          <w:b/>
          <w:bCs/>
          <w:sz w:val="22"/>
          <w:szCs w:val="22"/>
          <w:lang w:val="en-GB"/>
        </w:rPr>
        <w:t>T: therapeutic use</w:t>
      </w:r>
      <w:r w:rsidRPr="0087188A">
        <w:rPr>
          <w:rFonts w:ascii="Arial Narrow" w:hAnsi="Arial Narrow"/>
          <w:sz w:val="22"/>
          <w:szCs w:val="22"/>
          <w:lang w:val="en-GB"/>
        </w:rPr>
        <w:t xml:space="preserve"> </w:t>
      </w:r>
    </w:p>
    <w:p w14:paraId="7BC2D580" w14:textId="77777777" w:rsidR="0087188A" w:rsidRDefault="00381D80" w:rsidP="007A1AE5">
      <w:pPr>
        <w:pStyle w:val="CM8"/>
        <w:spacing w:after="0"/>
        <w:ind w:left="993"/>
        <w:rPr>
          <w:rFonts w:ascii="Arial Narrow" w:hAnsi="Arial Narrow"/>
          <w:sz w:val="22"/>
          <w:szCs w:val="22"/>
          <w:lang w:val="en-GB"/>
        </w:rPr>
      </w:pPr>
      <w:r w:rsidRPr="0087188A">
        <w:rPr>
          <w:rFonts w:ascii="Arial Narrow" w:hAnsi="Arial Narrow"/>
          <w:sz w:val="22"/>
          <w:szCs w:val="22"/>
          <w:lang w:val="en-GB"/>
        </w:rPr>
        <w:t>0 = not used for treatment; 1 = infrequently used for listed indications; 2 = moderate use for listed indications;</w:t>
      </w:r>
    </w:p>
    <w:p w14:paraId="06B45C19" w14:textId="2765E67D" w:rsidR="00381D80" w:rsidRPr="0087188A" w:rsidRDefault="00381D80" w:rsidP="007A1AE5">
      <w:pPr>
        <w:pStyle w:val="CM8"/>
        <w:spacing w:after="0"/>
        <w:ind w:left="993"/>
        <w:rPr>
          <w:rFonts w:ascii="Arial Narrow" w:hAnsi="Arial Narrow"/>
          <w:sz w:val="22"/>
          <w:szCs w:val="22"/>
          <w:lang w:val="en-GB"/>
        </w:rPr>
      </w:pPr>
      <w:r w:rsidRPr="0087188A">
        <w:rPr>
          <w:rFonts w:ascii="Arial Narrow" w:hAnsi="Arial Narrow"/>
          <w:sz w:val="22"/>
          <w:szCs w:val="22"/>
          <w:lang w:val="en-GB"/>
        </w:rPr>
        <w:t>3 = used f</w:t>
      </w:r>
      <w:r w:rsidR="004E5593" w:rsidRPr="0087188A">
        <w:rPr>
          <w:rFonts w:ascii="Arial Narrow" w:hAnsi="Arial Narrow"/>
          <w:sz w:val="22"/>
          <w:szCs w:val="22"/>
          <w:lang w:val="en-GB"/>
        </w:rPr>
        <w:t>requently for listed indications</w:t>
      </w:r>
    </w:p>
    <w:p w14:paraId="2B3BDF6D" w14:textId="77777777" w:rsidR="00F265B4" w:rsidRPr="0087188A" w:rsidRDefault="00F265B4" w:rsidP="00F265B4">
      <w:pPr>
        <w:pStyle w:val="Default"/>
        <w:rPr>
          <w:rFonts w:ascii="Arial Narrow" w:hAnsi="Arial Narrow"/>
          <w:sz w:val="22"/>
          <w:szCs w:val="22"/>
          <w:lang w:val="en-GB"/>
        </w:rPr>
      </w:pPr>
    </w:p>
    <w:p w14:paraId="503DE96C" w14:textId="77777777" w:rsidR="00381D80" w:rsidRPr="0087188A" w:rsidRDefault="00381D80" w:rsidP="00E560F5">
      <w:pPr>
        <w:pStyle w:val="CM6"/>
        <w:ind w:left="568"/>
        <w:rPr>
          <w:rFonts w:ascii="Arial Narrow" w:hAnsi="Arial Narrow"/>
          <w:sz w:val="22"/>
          <w:szCs w:val="22"/>
          <w:lang w:val="en-GB"/>
        </w:rPr>
      </w:pPr>
      <w:r w:rsidRPr="0087188A">
        <w:rPr>
          <w:rFonts w:ascii="Arial Narrow" w:hAnsi="Arial Narrow"/>
          <w:b/>
          <w:bCs/>
          <w:sz w:val="22"/>
          <w:szCs w:val="22"/>
          <w:lang w:val="en-GB"/>
        </w:rPr>
        <w:t xml:space="preserve">R = Restriction on use (Pharmaceutical Benefits Scheme or hospitals) </w:t>
      </w:r>
      <w:r w:rsidRPr="0087188A">
        <w:rPr>
          <w:rFonts w:ascii="Arial Narrow" w:hAnsi="Arial Narrow"/>
          <w:sz w:val="22"/>
          <w:szCs w:val="22"/>
          <w:lang w:val="en-GB"/>
        </w:rPr>
        <w:t xml:space="preserve"> </w:t>
      </w:r>
    </w:p>
    <w:p w14:paraId="7230B2DE" w14:textId="34D705C8" w:rsidR="00381D80" w:rsidRPr="0087188A" w:rsidRDefault="00381D80" w:rsidP="00933BC2">
      <w:pPr>
        <w:pStyle w:val="Default1"/>
        <w:tabs>
          <w:tab w:val="left" w:pos="1560"/>
        </w:tabs>
        <w:ind w:left="1560" w:right="3210" w:hanging="567"/>
        <w:rPr>
          <w:rFonts w:ascii="Arial Narrow" w:hAnsi="Arial Narrow"/>
          <w:sz w:val="22"/>
          <w:szCs w:val="22"/>
          <w:lang w:val="en-GB"/>
        </w:rPr>
      </w:pPr>
      <w:r w:rsidRPr="0087188A">
        <w:rPr>
          <w:rFonts w:ascii="Arial Narrow" w:hAnsi="Arial Narrow"/>
          <w:sz w:val="22"/>
          <w:szCs w:val="22"/>
          <w:lang w:val="en-GB"/>
        </w:rPr>
        <w:t xml:space="preserve">1 = </w:t>
      </w:r>
      <w:r w:rsidR="00933BC2" w:rsidRPr="0087188A">
        <w:rPr>
          <w:rFonts w:ascii="Arial Narrow" w:hAnsi="Arial Narrow"/>
          <w:sz w:val="22"/>
          <w:szCs w:val="22"/>
          <w:lang w:val="en-GB"/>
        </w:rPr>
        <w:tab/>
      </w:r>
      <w:r w:rsidRPr="0087188A">
        <w:rPr>
          <w:rFonts w:ascii="Arial Narrow" w:hAnsi="Arial Narrow"/>
          <w:sz w:val="22"/>
          <w:szCs w:val="22"/>
          <w:lang w:val="en-GB"/>
        </w:rPr>
        <w:t>readily available</w:t>
      </w:r>
    </w:p>
    <w:p w14:paraId="514AD84C" w14:textId="38059AA8" w:rsidR="00381D80" w:rsidRPr="0087188A" w:rsidRDefault="00381D80" w:rsidP="00933BC2">
      <w:pPr>
        <w:pStyle w:val="Default1"/>
        <w:tabs>
          <w:tab w:val="left" w:pos="1560"/>
        </w:tabs>
        <w:ind w:left="1560" w:right="72" w:hanging="567"/>
        <w:rPr>
          <w:rFonts w:ascii="Arial Narrow" w:hAnsi="Arial Narrow"/>
          <w:sz w:val="22"/>
          <w:szCs w:val="22"/>
          <w:lang w:val="en-GB"/>
        </w:rPr>
      </w:pPr>
      <w:r w:rsidRPr="0087188A">
        <w:rPr>
          <w:rFonts w:ascii="Arial Narrow" w:hAnsi="Arial Narrow"/>
          <w:sz w:val="22"/>
          <w:szCs w:val="22"/>
          <w:lang w:val="en-GB"/>
        </w:rPr>
        <w:t xml:space="preserve">2 = </w:t>
      </w:r>
      <w:r w:rsidR="00933BC2" w:rsidRPr="0087188A">
        <w:rPr>
          <w:rFonts w:ascii="Arial Narrow" w:hAnsi="Arial Narrow"/>
          <w:sz w:val="22"/>
          <w:szCs w:val="22"/>
          <w:lang w:val="en-GB"/>
        </w:rPr>
        <w:tab/>
      </w:r>
      <w:r w:rsidRPr="0087188A">
        <w:rPr>
          <w:rFonts w:ascii="Arial Narrow" w:hAnsi="Arial Narrow"/>
          <w:sz w:val="22"/>
          <w:szCs w:val="22"/>
          <w:lang w:val="en-GB"/>
        </w:rPr>
        <w:t>some extra rules on use e.g. ‘Restricted benefit’ in the Pharmaceutical Benefits Scheme (PBS) or not listed on the PBS and therefore not subsidised</w:t>
      </w:r>
    </w:p>
    <w:p w14:paraId="3F58B9F2" w14:textId="4A0AE012" w:rsidR="00381D80" w:rsidRPr="0087188A" w:rsidRDefault="00381D80" w:rsidP="00933BC2">
      <w:pPr>
        <w:pStyle w:val="Default1"/>
        <w:tabs>
          <w:tab w:val="left" w:pos="1560"/>
        </w:tabs>
        <w:ind w:left="1560" w:right="125" w:hanging="567"/>
        <w:rPr>
          <w:rFonts w:ascii="Arial Narrow" w:hAnsi="Arial Narrow"/>
          <w:sz w:val="22"/>
          <w:szCs w:val="22"/>
          <w:lang w:val="en-GB"/>
        </w:rPr>
      </w:pPr>
      <w:r w:rsidRPr="0087188A">
        <w:rPr>
          <w:rFonts w:ascii="Arial Narrow" w:hAnsi="Arial Narrow"/>
          <w:sz w:val="22"/>
          <w:szCs w:val="22"/>
          <w:lang w:val="en-GB"/>
        </w:rPr>
        <w:t xml:space="preserve">3 = </w:t>
      </w:r>
      <w:r w:rsidR="00933BC2" w:rsidRPr="0087188A">
        <w:rPr>
          <w:rFonts w:ascii="Arial Narrow" w:hAnsi="Arial Narrow"/>
          <w:sz w:val="22"/>
          <w:szCs w:val="22"/>
          <w:lang w:val="en-GB"/>
        </w:rPr>
        <w:tab/>
      </w:r>
      <w:r w:rsidRPr="0087188A">
        <w:rPr>
          <w:rFonts w:ascii="Arial Narrow" w:hAnsi="Arial Narrow"/>
          <w:sz w:val="22"/>
          <w:szCs w:val="22"/>
          <w:lang w:val="en-GB"/>
        </w:rPr>
        <w:t>higher level of restriction e.g. needs an ‘Authority required’ prescription on the PBS or not listed on the PBS and therefore not subsidised; often restricted use in hospitals</w:t>
      </w:r>
    </w:p>
    <w:p w14:paraId="5D343172" w14:textId="1E42DF7E" w:rsidR="00F265B4" w:rsidRPr="0087188A" w:rsidRDefault="00381D80" w:rsidP="00933BC2">
      <w:pPr>
        <w:pStyle w:val="CM8"/>
        <w:tabs>
          <w:tab w:val="left" w:pos="1560"/>
        </w:tabs>
        <w:spacing w:after="0"/>
        <w:ind w:left="1560" w:hanging="567"/>
        <w:rPr>
          <w:rFonts w:ascii="Arial Narrow" w:hAnsi="Arial Narrow"/>
          <w:sz w:val="22"/>
          <w:szCs w:val="22"/>
          <w:lang w:val="en-GB"/>
        </w:rPr>
      </w:pPr>
      <w:r w:rsidRPr="0087188A">
        <w:rPr>
          <w:rFonts w:ascii="Arial Narrow" w:hAnsi="Arial Narrow"/>
          <w:sz w:val="22"/>
          <w:szCs w:val="22"/>
          <w:lang w:val="en-GB"/>
        </w:rPr>
        <w:t xml:space="preserve">4 = </w:t>
      </w:r>
      <w:r w:rsidR="00933BC2" w:rsidRPr="0087188A">
        <w:rPr>
          <w:rFonts w:ascii="Arial Narrow" w:hAnsi="Arial Narrow"/>
          <w:sz w:val="22"/>
          <w:szCs w:val="22"/>
          <w:lang w:val="en-GB"/>
        </w:rPr>
        <w:tab/>
      </w:r>
      <w:r w:rsidRPr="0087188A">
        <w:rPr>
          <w:rFonts w:ascii="Arial Narrow" w:hAnsi="Arial Narrow"/>
          <w:sz w:val="22"/>
          <w:szCs w:val="22"/>
          <w:lang w:val="en-GB"/>
        </w:rPr>
        <w:t>use severely restricted (e.g. not available for prescription under PBS, available in major hospitals but only with permission from microbiologist or infectious diseases consultant, or in a special clinic)</w:t>
      </w:r>
    </w:p>
    <w:p w14:paraId="08BEBC9C" w14:textId="2AF39CD7" w:rsidR="00381D80" w:rsidRPr="0087188A" w:rsidRDefault="00381D80" w:rsidP="00933BC2">
      <w:pPr>
        <w:pStyle w:val="CM8"/>
        <w:tabs>
          <w:tab w:val="left" w:pos="1560"/>
        </w:tabs>
        <w:ind w:left="1560" w:hanging="567"/>
        <w:rPr>
          <w:rFonts w:ascii="Arial Narrow" w:hAnsi="Arial Narrow"/>
          <w:sz w:val="22"/>
          <w:szCs w:val="22"/>
          <w:lang w:val="en-GB"/>
        </w:rPr>
      </w:pPr>
      <w:r w:rsidRPr="0087188A">
        <w:rPr>
          <w:rFonts w:ascii="Arial Narrow" w:hAnsi="Arial Narrow"/>
          <w:sz w:val="22"/>
          <w:szCs w:val="22"/>
          <w:lang w:val="en-GB"/>
        </w:rPr>
        <w:t>5</w:t>
      </w:r>
      <w:r w:rsidR="00933BC2" w:rsidRPr="0087188A">
        <w:rPr>
          <w:rFonts w:ascii="Arial Narrow" w:hAnsi="Arial Narrow"/>
          <w:sz w:val="22"/>
          <w:szCs w:val="22"/>
          <w:lang w:val="en-GB"/>
        </w:rPr>
        <w:t xml:space="preserve"> </w:t>
      </w:r>
      <w:r w:rsidRPr="0087188A">
        <w:rPr>
          <w:rFonts w:ascii="Arial Narrow" w:hAnsi="Arial Narrow"/>
          <w:sz w:val="22"/>
          <w:szCs w:val="22"/>
          <w:lang w:val="en-GB"/>
        </w:rPr>
        <w:t xml:space="preserve">= </w:t>
      </w:r>
      <w:r w:rsidR="00933BC2" w:rsidRPr="0087188A">
        <w:rPr>
          <w:rFonts w:ascii="Arial Narrow" w:hAnsi="Arial Narrow"/>
          <w:sz w:val="22"/>
          <w:szCs w:val="22"/>
          <w:lang w:val="en-GB"/>
        </w:rPr>
        <w:tab/>
      </w:r>
      <w:r w:rsidRPr="0087188A">
        <w:rPr>
          <w:rFonts w:ascii="Arial Narrow" w:hAnsi="Arial Narrow"/>
          <w:sz w:val="22"/>
          <w:szCs w:val="22"/>
          <w:lang w:val="en-GB"/>
        </w:rPr>
        <w:t>not TGA registered but imported under the SAS scheme</w:t>
      </w:r>
    </w:p>
    <w:p w14:paraId="18566B04" w14:textId="77777777" w:rsidR="00381D80" w:rsidRPr="00933BC2" w:rsidRDefault="00381D80" w:rsidP="00E560F5">
      <w:pPr>
        <w:pStyle w:val="Default"/>
        <w:rPr>
          <w:rFonts w:ascii="Arial Narrow" w:hAnsi="Arial Narrow"/>
          <w:sz w:val="23"/>
          <w:szCs w:val="23"/>
          <w:lang w:val="en-GB"/>
        </w:rPr>
      </w:pPr>
    </w:p>
    <w:p w14:paraId="0B940C37" w14:textId="1AB059C0" w:rsidR="00425D26" w:rsidRPr="0087188A" w:rsidRDefault="00381D80" w:rsidP="00DB6B54">
      <w:pPr>
        <w:pStyle w:val="Default1"/>
        <w:pBdr>
          <w:top w:val="single" w:sz="4" w:space="1" w:color="auto"/>
          <w:left w:val="single" w:sz="4" w:space="4" w:color="auto"/>
          <w:bottom w:val="single" w:sz="4" w:space="1" w:color="auto"/>
          <w:right w:val="single" w:sz="4" w:space="4" w:color="auto"/>
        </w:pBdr>
        <w:spacing w:after="100" w:afterAutospacing="1"/>
        <w:rPr>
          <w:rFonts w:ascii="Arial Narrow" w:hAnsi="Arial Narrow"/>
          <w:sz w:val="22"/>
          <w:szCs w:val="22"/>
          <w:lang w:val="en-GB"/>
        </w:rPr>
      </w:pPr>
      <w:r w:rsidRPr="0087188A">
        <w:rPr>
          <w:rFonts w:ascii="Arial Narrow" w:hAnsi="Arial Narrow"/>
          <w:sz w:val="22"/>
          <w:szCs w:val="22"/>
          <w:lang w:val="en-GB"/>
        </w:rPr>
        <w:t>Antibacterial drug classes which are not used in humans and with no cross-resistance known to classes of antibacterials used in humans include arsenicals (roxarsone, 3-nitro-4-hydroxyphenylarsonic acid, sodium arsenilate), bambermycins (flavophospholipol, flavomycin), bicozamycin, coumermycins (including novobiocin), ionophores (lasalocid, maduramycin, monensin, narasin, salinomycin, semduramycin)</w:t>
      </w:r>
      <w:r w:rsidR="00FF315B">
        <w:rPr>
          <w:rFonts w:ascii="Arial Narrow" w:hAnsi="Arial Narrow"/>
          <w:sz w:val="22"/>
          <w:szCs w:val="22"/>
          <w:lang w:val="en-GB"/>
        </w:rPr>
        <w:t>,</w:t>
      </w:r>
      <w:r w:rsidRPr="0087188A">
        <w:rPr>
          <w:rFonts w:ascii="Arial Narrow" w:hAnsi="Arial Narrow"/>
          <w:sz w:val="22"/>
          <w:szCs w:val="22"/>
          <w:lang w:val="en-GB"/>
        </w:rPr>
        <w:t xml:space="preserve"> orthosomycins (avilamycin), quinoxalines (carbadox, </w:t>
      </w:r>
      <w:bookmarkStart w:id="6" w:name="OLE_LINK2"/>
      <w:bookmarkStart w:id="7" w:name="OLE_LINK3"/>
      <w:r w:rsidRPr="0087188A">
        <w:rPr>
          <w:rFonts w:ascii="Arial Narrow" w:hAnsi="Arial Narrow"/>
          <w:sz w:val="22"/>
          <w:szCs w:val="22"/>
          <w:lang w:val="en-GB"/>
        </w:rPr>
        <w:t>olaquindox</w:t>
      </w:r>
      <w:bookmarkEnd w:id="6"/>
      <w:bookmarkEnd w:id="7"/>
      <w:r w:rsidRPr="0087188A">
        <w:rPr>
          <w:rFonts w:ascii="Arial Narrow" w:hAnsi="Arial Narrow"/>
          <w:sz w:val="22"/>
          <w:szCs w:val="22"/>
          <w:lang w:val="en-GB"/>
        </w:rPr>
        <w:t xml:space="preserve">), coumermycins (novobiocin) and nisin. </w:t>
      </w:r>
    </w:p>
    <w:p w14:paraId="465430B9" w14:textId="6B3E0E84" w:rsidR="00381D80" w:rsidRPr="0087188A" w:rsidRDefault="00381D80" w:rsidP="00DB6B54">
      <w:pPr>
        <w:pStyle w:val="Default1"/>
        <w:pBdr>
          <w:top w:val="single" w:sz="4" w:space="1" w:color="auto"/>
          <w:left w:val="single" w:sz="4" w:space="4" w:color="auto"/>
          <w:bottom w:val="single" w:sz="4" w:space="1" w:color="auto"/>
          <w:right w:val="single" w:sz="4" w:space="4" w:color="auto"/>
        </w:pBdr>
        <w:spacing w:after="100" w:afterAutospacing="1"/>
        <w:rPr>
          <w:rFonts w:ascii="Arial Narrow" w:hAnsi="Arial Narrow"/>
          <w:sz w:val="22"/>
          <w:szCs w:val="22"/>
          <w:lang w:val="en-GB"/>
        </w:rPr>
      </w:pPr>
      <w:r w:rsidRPr="0087188A">
        <w:rPr>
          <w:rFonts w:ascii="Arial Narrow" w:hAnsi="Arial Narrow"/>
          <w:sz w:val="22"/>
          <w:szCs w:val="22"/>
          <w:lang w:val="en-GB"/>
        </w:rPr>
        <w:t>Pleuromutulins (tiamulin, valnemulin in animals) for human use are undergoing development; one agent, retapamulin, is registered for</w:t>
      </w:r>
      <w:r w:rsidR="00F265B4" w:rsidRPr="0087188A">
        <w:rPr>
          <w:rFonts w:ascii="Arial Narrow" w:hAnsi="Arial Narrow"/>
          <w:sz w:val="22"/>
          <w:szCs w:val="22"/>
          <w:lang w:val="en-GB"/>
        </w:rPr>
        <w:t xml:space="preserve"> topical use in the USA and EU.</w:t>
      </w:r>
    </w:p>
    <w:p w14:paraId="0518BA6B" w14:textId="77777777" w:rsidR="00933BC2" w:rsidRDefault="00933BC2">
      <w:pPr>
        <w:widowControl/>
        <w:autoSpaceDE/>
        <w:autoSpaceDN/>
        <w:adjustRightInd/>
        <w:rPr>
          <w:rFonts w:ascii="Arial Narrow" w:hAnsi="Arial Narrow"/>
          <w:b/>
          <w:color w:val="000000"/>
          <w:lang w:val="en-GB"/>
        </w:rPr>
      </w:pPr>
      <w:r>
        <w:rPr>
          <w:rFonts w:ascii="Arial Narrow" w:hAnsi="Arial Narrow"/>
          <w:b/>
          <w:lang w:val="en-GB"/>
        </w:rPr>
        <w:br w:type="page"/>
      </w:r>
    </w:p>
    <w:p w14:paraId="308639BF" w14:textId="7A6FDF3B" w:rsidR="00381D80" w:rsidRPr="004A22B9" w:rsidRDefault="00381D80" w:rsidP="004A22B9">
      <w:pPr>
        <w:pStyle w:val="Heading1"/>
        <w:rPr>
          <w:rFonts w:ascii="Arial Narrow" w:hAnsi="Arial Narrow"/>
          <w:color w:val="auto"/>
          <w:sz w:val="24"/>
          <w:lang w:val="en-GB"/>
        </w:rPr>
      </w:pPr>
      <w:bookmarkStart w:id="8" w:name="_Toc441841820"/>
      <w:r w:rsidRPr="004A22B9">
        <w:rPr>
          <w:rFonts w:ascii="Arial Narrow" w:hAnsi="Arial Narrow"/>
          <w:color w:val="auto"/>
          <w:sz w:val="24"/>
          <w:lang w:val="en-GB"/>
        </w:rPr>
        <w:lastRenderedPageBreak/>
        <w:t xml:space="preserve">TABLE 2  Antibacterials </w:t>
      </w:r>
      <w:r w:rsidRPr="00340305">
        <w:rPr>
          <w:rFonts w:ascii="Arial Narrow" w:hAnsi="Arial Narrow"/>
          <w:sz w:val="24"/>
          <w:lang w:val="en-GB"/>
        </w:rPr>
        <w:t>not included in Table 1</w:t>
      </w:r>
      <w:r w:rsidR="00D25885">
        <w:rPr>
          <w:rFonts w:ascii="Arial Narrow" w:hAnsi="Arial Narrow"/>
          <w:color w:val="auto"/>
          <w:sz w:val="24"/>
          <w:lang w:val="en-GB"/>
        </w:rPr>
        <w:t>,</w:t>
      </w:r>
      <w:r w:rsidRPr="004A22B9">
        <w:rPr>
          <w:rFonts w:ascii="Arial Narrow" w:hAnsi="Arial Narrow"/>
          <w:color w:val="auto"/>
          <w:sz w:val="24"/>
          <w:lang w:val="en-GB"/>
        </w:rPr>
        <w:t xml:space="preserve"> </w:t>
      </w:r>
      <w:r w:rsidR="00FF315B">
        <w:rPr>
          <w:rFonts w:ascii="Arial Narrow" w:hAnsi="Arial Narrow"/>
          <w:color w:val="auto"/>
          <w:sz w:val="24"/>
          <w:lang w:val="en-GB"/>
        </w:rPr>
        <w:t xml:space="preserve">but </w:t>
      </w:r>
      <w:r w:rsidRPr="004A22B9">
        <w:rPr>
          <w:rFonts w:ascii="Arial Narrow" w:hAnsi="Arial Narrow"/>
          <w:color w:val="auto"/>
          <w:sz w:val="24"/>
          <w:lang w:val="en-GB"/>
        </w:rPr>
        <w:t>with potential to select for cross resistance to antibacterials used in Table 1</w:t>
      </w:r>
      <w:bookmarkEnd w:id="8"/>
    </w:p>
    <w:p w14:paraId="2862143A" w14:textId="77777777" w:rsidR="00381D80" w:rsidRPr="000106F4" w:rsidRDefault="00381D80">
      <w:pPr>
        <w:pStyle w:val="Default"/>
        <w:rPr>
          <w:color w:val="auto"/>
          <w:lang w:val="en-GB"/>
        </w:rPr>
      </w:pPr>
    </w:p>
    <w:tbl>
      <w:tblPr>
        <w:tblStyle w:val="LightList-Accent5"/>
        <w:tblW w:w="0" w:type="auto"/>
        <w:tblLook w:val="01E0" w:firstRow="1" w:lastRow="1" w:firstColumn="1" w:lastColumn="1" w:noHBand="0" w:noVBand="0"/>
        <w:tblCaption w:val="TABLE 2  Antibacterials not included in Table 1, but with the potential to select for cross resistance to antibacterials used in Table 1"/>
        <w:tblDescription w:val="The first column lists the antibacterial class.  The second column indicates the Importance Rating using low, medium or high using the same definiitions as table 1. The third column indicates what agents are registered with the Australian Pesticides and Veterinary Medicines Authority.  The forth column lists those agents in that particular class that are not registered in Australia for any purpose. "/>
      </w:tblPr>
      <w:tblGrid>
        <w:gridCol w:w="2711"/>
        <w:gridCol w:w="1613"/>
        <w:gridCol w:w="2241"/>
        <w:gridCol w:w="3623"/>
      </w:tblGrid>
      <w:tr w:rsidR="00381D80" w:rsidRPr="000106F4" w14:paraId="49FA3663" w14:textId="77777777" w:rsidTr="008718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32" w:type="dxa"/>
          </w:tcPr>
          <w:p w14:paraId="2CE0225B" w14:textId="43F2FD99" w:rsidR="00381D80" w:rsidRPr="001F6B2A" w:rsidRDefault="00381D80" w:rsidP="001F6B2A">
            <w:pPr>
              <w:pStyle w:val="Default1"/>
              <w:rPr>
                <w:rFonts w:ascii="Arial Narrow" w:hAnsi="Arial Narrow" w:cs="Garamond"/>
                <w:b w:val="0"/>
                <w:color w:val="000000"/>
                <w:sz w:val="22"/>
                <w:szCs w:val="18"/>
                <w:lang w:val="en-GB"/>
              </w:rPr>
            </w:pPr>
            <w:r w:rsidRPr="000106F4">
              <w:rPr>
                <w:rFonts w:ascii="Arial Narrow" w:hAnsi="Arial Narrow" w:cs="Garamond"/>
                <w:color w:val="000000"/>
                <w:sz w:val="22"/>
                <w:szCs w:val="18"/>
                <w:lang w:val="en-GB"/>
              </w:rPr>
              <w:t>Antibacterial class</w:t>
            </w:r>
          </w:p>
        </w:tc>
        <w:tc>
          <w:tcPr>
            <w:cnfStyle w:val="000010000000" w:firstRow="0" w:lastRow="0" w:firstColumn="0" w:lastColumn="0" w:oddVBand="1" w:evenVBand="0" w:oddHBand="0" w:evenHBand="0" w:firstRowFirstColumn="0" w:firstRowLastColumn="0" w:lastRowFirstColumn="0" w:lastRowLastColumn="0"/>
            <w:tcW w:w="1547" w:type="dxa"/>
          </w:tcPr>
          <w:p w14:paraId="2D92BC60" w14:textId="1AF058EE" w:rsidR="00381D80" w:rsidRPr="000106F4" w:rsidRDefault="00693D36" w:rsidP="0002211E">
            <w:pPr>
              <w:pStyle w:val="Default1"/>
              <w:jc w:val="center"/>
              <w:rPr>
                <w:rFonts w:ascii="Arial Narrow" w:hAnsi="Arial Narrow" w:cs="Garamond"/>
                <w:b w:val="0"/>
                <w:color w:val="000000"/>
                <w:sz w:val="22"/>
                <w:szCs w:val="18"/>
                <w:lang w:val="en-GB"/>
              </w:rPr>
            </w:pPr>
            <w:r>
              <w:rPr>
                <w:rFonts w:ascii="Arial Narrow" w:hAnsi="Arial Narrow" w:cs="Garamond"/>
                <w:sz w:val="22"/>
                <w:szCs w:val="18"/>
                <w:lang w:val="en-GB"/>
              </w:rPr>
              <w:t>Importance</w:t>
            </w:r>
            <w:r w:rsidR="00381D80" w:rsidRPr="000106F4">
              <w:rPr>
                <w:rFonts w:ascii="Arial Narrow" w:hAnsi="Arial Narrow" w:cs="Garamond"/>
                <w:sz w:val="22"/>
                <w:szCs w:val="18"/>
                <w:lang w:val="en-GB"/>
              </w:rPr>
              <w:t xml:space="preserve"> rating</w:t>
            </w:r>
          </w:p>
        </w:tc>
        <w:tc>
          <w:tcPr>
            <w:tcW w:w="2252" w:type="dxa"/>
          </w:tcPr>
          <w:p w14:paraId="71517501" w14:textId="77777777" w:rsidR="00381D80" w:rsidRPr="000106F4" w:rsidRDefault="00381D80" w:rsidP="00615479">
            <w:pPr>
              <w:pStyle w:val="Default1"/>
              <w:cnfStyle w:val="100000000000" w:firstRow="1" w:lastRow="0" w:firstColumn="0" w:lastColumn="0" w:oddVBand="0" w:evenVBand="0" w:oddHBand="0" w:evenHBand="0" w:firstRowFirstColumn="0" w:firstRowLastColumn="0" w:lastRowFirstColumn="0" w:lastRowLastColumn="0"/>
              <w:rPr>
                <w:rFonts w:ascii="Arial Narrow" w:hAnsi="Arial Narrow" w:cs="Garamond"/>
                <w:b w:val="0"/>
                <w:color w:val="000000"/>
                <w:sz w:val="22"/>
                <w:szCs w:val="18"/>
                <w:lang w:val="en-GB"/>
              </w:rPr>
            </w:pPr>
            <w:r w:rsidRPr="000106F4">
              <w:rPr>
                <w:rFonts w:ascii="Arial Narrow" w:hAnsi="Arial Narrow" w:cs="Garamond"/>
                <w:color w:val="000000"/>
                <w:sz w:val="22"/>
                <w:szCs w:val="18"/>
                <w:lang w:val="en-GB"/>
              </w:rPr>
              <w:t>APVMA registered</w:t>
            </w:r>
          </w:p>
        </w:tc>
        <w:tc>
          <w:tcPr>
            <w:cnfStyle w:val="000100000000" w:firstRow="0" w:lastRow="0" w:firstColumn="0" w:lastColumn="1" w:oddVBand="0" w:evenVBand="0" w:oddHBand="0" w:evenHBand="0" w:firstRowFirstColumn="0" w:firstRowLastColumn="0" w:lastRowFirstColumn="0" w:lastRowLastColumn="0"/>
            <w:tcW w:w="3657" w:type="dxa"/>
            <w:tcBorders>
              <w:bottom w:val="single" w:sz="8" w:space="0" w:color="4BACC6" w:themeColor="accent5"/>
            </w:tcBorders>
          </w:tcPr>
          <w:p w14:paraId="5D02A82A" w14:textId="5E642874" w:rsidR="00381D80" w:rsidRPr="000106F4" w:rsidRDefault="00381D80" w:rsidP="00E76D58">
            <w:pPr>
              <w:pStyle w:val="Default1"/>
              <w:rPr>
                <w:rFonts w:ascii="Arial Narrow" w:hAnsi="Arial Narrow" w:cs="Garamond"/>
                <w:b w:val="0"/>
                <w:color w:val="000000"/>
                <w:sz w:val="22"/>
                <w:szCs w:val="18"/>
                <w:lang w:val="en-GB"/>
              </w:rPr>
            </w:pPr>
            <w:r w:rsidRPr="000106F4">
              <w:rPr>
                <w:rFonts w:ascii="Arial Narrow" w:hAnsi="Arial Narrow" w:cs="Garamond"/>
                <w:color w:val="000000"/>
                <w:sz w:val="22"/>
                <w:szCs w:val="18"/>
                <w:lang w:val="en-GB"/>
              </w:rPr>
              <w:t>Not registered in Australia for any purpose</w:t>
            </w:r>
          </w:p>
        </w:tc>
      </w:tr>
      <w:tr w:rsidR="00BD4E40" w:rsidRPr="00BD6C45" w14:paraId="5CA151BF"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632D7544" w14:textId="77777777" w:rsidR="00BD4E40" w:rsidRPr="00BD6C45" w:rsidRDefault="00BD4E40"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 xml:space="preserve">Narrow-spectrum penicillins </w:t>
            </w:r>
          </w:p>
          <w:p w14:paraId="6DFA6926" w14:textId="77777777" w:rsidR="00BD4E40" w:rsidRPr="00BD6C45" w:rsidRDefault="00BD4E40" w:rsidP="0087188A">
            <w:pPr>
              <w:pStyle w:val="Default"/>
              <w:spacing w:line="276" w:lineRule="auto"/>
              <w:rPr>
                <w:rFonts w:ascii="Arial Narrow" w:hAnsi="Arial Narrow" w:cs="Arial Narrow"/>
                <w:b w:val="0"/>
                <w:bCs w:val="0"/>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47" w:type="dxa"/>
          </w:tcPr>
          <w:p w14:paraId="3AA0B6F0" w14:textId="61F8A83D" w:rsidR="00BD4E40" w:rsidRPr="00BD6C45" w:rsidRDefault="00BD4E40"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Low</w:t>
            </w:r>
          </w:p>
        </w:tc>
        <w:tc>
          <w:tcPr>
            <w:tcW w:w="2252" w:type="dxa"/>
            <w:tcBorders>
              <w:right w:val="single" w:sz="8" w:space="0" w:color="4BACC6" w:themeColor="accent5"/>
            </w:tcBorders>
          </w:tcPr>
          <w:p w14:paraId="4296F0D3" w14:textId="0B6751DC" w:rsidR="00BD4E40" w:rsidRPr="00BD6C45" w:rsidRDefault="00BD4E40"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Penethamate hydriodide</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0C669B6A" w14:textId="77777777" w:rsidR="00BD4E40" w:rsidRPr="00FF315B" w:rsidRDefault="00BD4E40" w:rsidP="0087188A">
            <w:pPr>
              <w:pStyle w:val="Default"/>
              <w:spacing w:line="276" w:lineRule="auto"/>
              <w:rPr>
                <w:rFonts w:ascii="Arial Narrow" w:hAnsi="Arial Narrow"/>
                <w:b w:val="0"/>
                <w:color w:val="auto"/>
                <w:sz w:val="21"/>
                <w:szCs w:val="21"/>
                <w:lang w:val="en-GB"/>
              </w:rPr>
            </w:pPr>
            <w:r w:rsidRPr="00FF315B">
              <w:rPr>
                <w:rFonts w:ascii="Arial Narrow" w:hAnsi="Arial Narrow"/>
                <w:b w:val="0"/>
                <w:color w:val="auto"/>
                <w:sz w:val="21"/>
                <w:szCs w:val="21"/>
                <w:lang w:val="en-GB"/>
              </w:rPr>
              <w:t>Phenoxyethylpenicillin (phenethicillin)</w:t>
            </w:r>
          </w:p>
          <w:p w14:paraId="33A1AE1D" w14:textId="77777777" w:rsidR="00BD4E40" w:rsidRPr="00BD6C45" w:rsidRDefault="00BD4E40" w:rsidP="0087188A">
            <w:pPr>
              <w:pStyle w:val="Default"/>
              <w:spacing w:line="276" w:lineRule="auto"/>
              <w:rPr>
                <w:rFonts w:ascii="Arial Narrow" w:hAnsi="Arial Narrow"/>
                <w:color w:val="auto"/>
                <w:sz w:val="21"/>
                <w:szCs w:val="21"/>
                <w:lang w:val="en-GB"/>
              </w:rPr>
            </w:pPr>
          </w:p>
        </w:tc>
      </w:tr>
      <w:tr w:rsidR="00C17B8F" w:rsidRPr="00BD6C45" w14:paraId="249C798D"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1F0559B8" w14:textId="5764E9C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color w:val="auto"/>
                <w:sz w:val="21"/>
                <w:szCs w:val="21"/>
                <w:lang w:val="en-GB"/>
              </w:rPr>
              <w:t>Moderate spectrum penicillins</w:t>
            </w:r>
          </w:p>
        </w:tc>
        <w:tc>
          <w:tcPr>
            <w:cnfStyle w:val="000010000000" w:firstRow="0" w:lastRow="0" w:firstColumn="0" w:lastColumn="0" w:oddVBand="1" w:evenVBand="0" w:oddHBand="0" w:evenHBand="0" w:firstRowFirstColumn="0" w:firstRowLastColumn="0" w:lastRowFirstColumn="0" w:lastRowLastColumn="0"/>
            <w:tcW w:w="1547" w:type="dxa"/>
          </w:tcPr>
          <w:p w14:paraId="2B4FB4F2" w14:textId="77777777" w:rsidR="00C17B8F" w:rsidRPr="00BD6C45" w:rsidRDefault="00C17B8F"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Low</w:t>
            </w:r>
          </w:p>
        </w:tc>
        <w:tc>
          <w:tcPr>
            <w:tcW w:w="2252" w:type="dxa"/>
            <w:tcBorders>
              <w:right w:val="single" w:sz="8" w:space="0" w:color="4BACC6" w:themeColor="accent5"/>
            </w:tcBorders>
          </w:tcPr>
          <w:p w14:paraId="2BDD7E3C" w14:textId="16C5BC51" w:rsidR="00C17B8F" w:rsidRPr="00BD6C45" w:rsidRDefault="00BD4E40"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top w:val="single" w:sz="8" w:space="0" w:color="4BACC6" w:themeColor="accent5"/>
              <w:left w:val="single" w:sz="8" w:space="0" w:color="4BACC6" w:themeColor="accent5"/>
            </w:tcBorders>
          </w:tcPr>
          <w:p w14:paraId="06B06A6C"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Aspoxicillin</w:t>
            </w:r>
          </w:p>
          <w:p w14:paraId="38EF76EB"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Azidocillin</w:t>
            </w:r>
          </w:p>
          <w:p w14:paraId="55B1EC5D"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Bacampicillin</w:t>
            </w:r>
          </w:p>
          <w:p w14:paraId="25C58135"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Clometocillin</w:t>
            </w:r>
          </w:p>
          <w:p w14:paraId="24FA846E"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Epicillin</w:t>
            </w:r>
          </w:p>
          <w:p w14:paraId="39B72FF3"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Hetacillin</w:t>
            </w:r>
          </w:p>
          <w:p w14:paraId="43B75BC3"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Metampicillin</w:t>
            </w:r>
          </w:p>
          <w:p w14:paraId="6C48238D"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Penamecillin</w:t>
            </w:r>
          </w:p>
          <w:p w14:paraId="6706CBD5"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Pivampicillin</w:t>
            </w:r>
          </w:p>
          <w:p w14:paraId="0AC688F1"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Propicillin</w:t>
            </w:r>
          </w:p>
          <w:p w14:paraId="7D8041DD"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Sultamicillin</w:t>
            </w:r>
          </w:p>
          <w:p w14:paraId="3C6BC3F4"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Talampicillin</w:t>
            </w:r>
          </w:p>
          <w:p w14:paraId="0D494D79"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Temocillin</w:t>
            </w:r>
          </w:p>
          <w:p w14:paraId="6B4080DC" w14:textId="502DC8AA"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Tobicillin</w:t>
            </w:r>
          </w:p>
        </w:tc>
      </w:tr>
      <w:tr w:rsidR="00C17B8F" w:rsidRPr="00BD6C45" w14:paraId="3FF702EB"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21EFD2FE" w14:textId="778A7C0B" w:rsidR="00C17B8F" w:rsidRPr="00BD6C45" w:rsidRDefault="00BD4E40"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Broad-spectrum penicillins (anti-pseudomonal and/or β-lactamase stable)</w:t>
            </w:r>
          </w:p>
        </w:tc>
        <w:tc>
          <w:tcPr>
            <w:cnfStyle w:val="000010000000" w:firstRow="0" w:lastRow="0" w:firstColumn="0" w:lastColumn="0" w:oddVBand="1" w:evenVBand="0" w:oddHBand="0" w:evenHBand="0" w:firstRowFirstColumn="0" w:firstRowLastColumn="0" w:lastRowFirstColumn="0" w:lastRowLastColumn="0"/>
            <w:tcW w:w="1547" w:type="dxa"/>
          </w:tcPr>
          <w:p w14:paraId="087E19AB" w14:textId="45D1B4E6" w:rsidR="00C17B8F" w:rsidRPr="00BD6C45" w:rsidRDefault="00BD4E40"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68AB5BDB" w14:textId="77777777" w:rsidR="00C17B8F" w:rsidRPr="00BD6C45" w:rsidRDefault="00C17B8F"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1FD6BB73"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Azlocillin</w:t>
            </w:r>
          </w:p>
          <w:p w14:paraId="0BE1DC29"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Carbenicillin</w:t>
            </w:r>
          </w:p>
          <w:p w14:paraId="72C7B8E7"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Carindacillin</w:t>
            </w:r>
          </w:p>
          <w:p w14:paraId="730D75F8"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Mecillinam</w:t>
            </w:r>
          </w:p>
          <w:p w14:paraId="66739544"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Mezlocillin</w:t>
            </w:r>
          </w:p>
          <w:p w14:paraId="7B323A60"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Piperacillin</w:t>
            </w:r>
          </w:p>
          <w:p w14:paraId="50F66B90"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Pivmecillinam</w:t>
            </w:r>
          </w:p>
          <w:p w14:paraId="1889425D"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Sulbenicillin</w:t>
            </w:r>
          </w:p>
          <w:p w14:paraId="64C3B576"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Temocillin</w:t>
            </w:r>
          </w:p>
          <w:p w14:paraId="6166CDEE" w14:textId="43155B3D"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Ticarcillin</w:t>
            </w:r>
          </w:p>
        </w:tc>
      </w:tr>
      <w:tr w:rsidR="00C17B8F" w:rsidRPr="00BD6C45" w14:paraId="7B9860AC"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0237DAF3" w14:textId="3727B9F7" w:rsidR="00C17B8F" w:rsidRPr="00BD6C45" w:rsidRDefault="00BD4E40"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Antistaphylococcal penicillins</w:t>
            </w:r>
          </w:p>
        </w:tc>
        <w:tc>
          <w:tcPr>
            <w:cnfStyle w:val="000010000000" w:firstRow="0" w:lastRow="0" w:firstColumn="0" w:lastColumn="0" w:oddVBand="1" w:evenVBand="0" w:oddHBand="0" w:evenHBand="0" w:firstRowFirstColumn="0" w:firstRowLastColumn="0" w:lastRowFirstColumn="0" w:lastRowLastColumn="0"/>
            <w:tcW w:w="1547" w:type="dxa"/>
          </w:tcPr>
          <w:p w14:paraId="33D74D22" w14:textId="0CDBB0D1" w:rsidR="00C17B8F" w:rsidRPr="00BD6C45" w:rsidRDefault="00BD4E40"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Medium</w:t>
            </w:r>
          </w:p>
        </w:tc>
        <w:tc>
          <w:tcPr>
            <w:tcW w:w="2252" w:type="dxa"/>
            <w:tcBorders>
              <w:right w:val="single" w:sz="8" w:space="0" w:color="4BACC6" w:themeColor="accent5"/>
            </w:tcBorders>
          </w:tcPr>
          <w:p w14:paraId="65B6D550" w14:textId="26490B6E" w:rsidR="00C17B8F" w:rsidRPr="00BD6C45" w:rsidRDefault="00BD4E40"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Cloxacillin</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0C5DD768"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Methicillin</w:t>
            </w:r>
          </w:p>
          <w:p w14:paraId="0D822AD1"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Oxacillin</w:t>
            </w:r>
          </w:p>
          <w:p w14:paraId="2C05F518" w14:textId="55B145AD"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Nafcillin</w:t>
            </w:r>
          </w:p>
        </w:tc>
      </w:tr>
      <w:tr w:rsidR="00C17B8F" w:rsidRPr="00BD6C45" w14:paraId="64F91653"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1FC1A737" w14:textId="2AC8FDE0" w:rsidR="00C17B8F" w:rsidRPr="00BD6C45" w:rsidRDefault="00BD4E40"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ß-lactamase inhibitor combinations</w:t>
            </w:r>
          </w:p>
        </w:tc>
        <w:tc>
          <w:tcPr>
            <w:cnfStyle w:val="000010000000" w:firstRow="0" w:lastRow="0" w:firstColumn="0" w:lastColumn="0" w:oddVBand="1" w:evenVBand="0" w:oddHBand="0" w:evenHBand="0" w:firstRowFirstColumn="0" w:firstRowLastColumn="0" w:lastRowFirstColumn="0" w:lastRowLastColumn="0"/>
            <w:tcW w:w="1547" w:type="dxa"/>
          </w:tcPr>
          <w:p w14:paraId="63389EDA" w14:textId="7BC040F4" w:rsidR="00C17B8F" w:rsidRPr="00BD6C45" w:rsidRDefault="00C17B8F"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Medium</w:t>
            </w:r>
            <w:r w:rsidR="00BD4E40"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0E33020A" w14:textId="1988D4E4" w:rsidR="00C17B8F" w:rsidRPr="00BD6C45" w:rsidRDefault="00BD4E40"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60422442" w14:textId="77777777"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Ampicillin-sulbactam</w:t>
            </w:r>
          </w:p>
          <w:p w14:paraId="7DBA0906" w14:textId="6475E3F2" w:rsidR="00C17B8F" w:rsidRPr="00BD6C45" w:rsidRDefault="00C17B8F"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Cefoperazone-sulbactam</w:t>
            </w:r>
          </w:p>
        </w:tc>
      </w:tr>
      <w:tr w:rsidR="00BD4E40" w:rsidRPr="00BD6C45" w14:paraId="14577F3B"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42DA64C4" w14:textId="4632174F" w:rsidR="00BD4E40" w:rsidRPr="00BD6C45" w:rsidRDefault="00BD4E40"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1st Generation Cephalosporins (Medium)</w:t>
            </w:r>
          </w:p>
        </w:tc>
        <w:tc>
          <w:tcPr>
            <w:cnfStyle w:val="000010000000" w:firstRow="0" w:lastRow="0" w:firstColumn="0" w:lastColumn="0" w:oddVBand="1" w:evenVBand="0" w:oddHBand="0" w:evenHBand="0" w:firstRowFirstColumn="0" w:firstRowLastColumn="0" w:lastRowFirstColumn="0" w:lastRowLastColumn="0"/>
            <w:tcW w:w="1547" w:type="dxa"/>
          </w:tcPr>
          <w:p w14:paraId="4F587B49" w14:textId="5DFE8503" w:rsidR="00BD4E40" w:rsidRPr="00BD6C45" w:rsidRDefault="00BD4E40"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Medium</w:t>
            </w:r>
          </w:p>
        </w:tc>
        <w:tc>
          <w:tcPr>
            <w:tcW w:w="2252" w:type="dxa"/>
            <w:tcBorders>
              <w:right w:val="single" w:sz="8" w:space="0" w:color="4BACC6" w:themeColor="accent5"/>
            </w:tcBorders>
          </w:tcPr>
          <w:p w14:paraId="59293B90" w14:textId="77777777" w:rsidR="00BD4E40" w:rsidRPr="00BD6C45" w:rsidRDefault="00BD4E40"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Cephalonium</w:t>
            </w:r>
          </w:p>
          <w:p w14:paraId="107E6F52" w14:textId="1DDEDEA7" w:rsidR="00BD4E40" w:rsidRPr="00BD6C45" w:rsidRDefault="00BD4E40"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Cephapirin</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0A9B48A1"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Cefacetrile</w:t>
            </w:r>
          </w:p>
          <w:p w14:paraId="023DEEDB"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Cefadroxil</w:t>
            </w:r>
          </w:p>
          <w:p w14:paraId="5A0F983E"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Cefatrizine</w:t>
            </w:r>
          </w:p>
          <w:p w14:paraId="5D41C9F7"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Cefazedone</w:t>
            </w:r>
          </w:p>
          <w:p w14:paraId="7EB5997C" w14:textId="6F2FD895"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Ceforanide</w:t>
            </w:r>
          </w:p>
          <w:p w14:paraId="50EAF958"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Cefroxadine</w:t>
            </w:r>
          </w:p>
          <w:p w14:paraId="20354A24" w14:textId="77777777" w:rsidR="00BD4E40" w:rsidRPr="00BD6C45" w:rsidRDefault="00BD4E40"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Ceftazafur</w:t>
            </w:r>
          </w:p>
          <w:p w14:paraId="597AF32F" w14:textId="77777777" w:rsidR="00BD4E40" w:rsidRPr="00BD6C45" w:rsidRDefault="00BD4E40"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Ceftezole</w:t>
            </w:r>
          </w:p>
          <w:p w14:paraId="49D1FE17" w14:textId="77777777" w:rsidR="00BD4E40" w:rsidRPr="00BD6C45" w:rsidRDefault="00BD4E40"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Cephaloglycin</w:t>
            </w:r>
          </w:p>
          <w:p w14:paraId="3AF9CBA2" w14:textId="77777777" w:rsidR="00BD4E40" w:rsidRPr="00BD6C45" w:rsidRDefault="00BD4E40"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Cephaloridine</w:t>
            </w:r>
          </w:p>
          <w:p w14:paraId="0A175207" w14:textId="77777777" w:rsidR="00BD4E40" w:rsidRDefault="00BD4E40"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Cephradine</w:t>
            </w:r>
          </w:p>
          <w:p w14:paraId="478354C2" w14:textId="565EAB8E" w:rsidR="00CB1BD0" w:rsidRPr="00BD6C45" w:rsidRDefault="00CB1BD0" w:rsidP="0087188A">
            <w:pPr>
              <w:pStyle w:val="Default"/>
              <w:spacing w:line="276" w:lineRule="auto"/>
              <w:rPr>
                <w:rFonts w:ascii="Arial Narrow" w:hAnsi="Arial Narrow"/>
                <w:b w:val="0"/>
                <w:color w:val="auto"/>
                <w:sz w:val="21"/>
                <w:szCs w:val="21"/>
                <w:lang w:val="fr-FR"/>
              </w:rPr>
            </w:pPr>
          </w:p>
        </w:tc>
      </w:tr>
      <w:tr w:rsidR="00BD4E40" w:rsidRPr="00BD6C45" w14:paraId="64937BCA"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7BB8AB5C" w14:textId="27D55650" w:rsidR="00BD4E40" w:rsidRPr="00BD6C45" w:rsidRDefault="00BD4E40"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lastRenderedPageBreak/>
              <w:t>2nd Generation Cephalosporins</w:t>
            </w:r>
          </w:p>
        </w:tc>
        <w:tc>
          <w:tcPr>
            <w:cnfStyle w:val="000010000000" w:firstRow="0" w:lastRow="0" w:firstColumn="0" w:lastColumn="0" w:oddVBand="1" w:evenVBand="0" w:oddHBand="0" w:evenHBand="0" w:firstRowFirstColumn="0" w:firstRowLastColumn="0" w:lastRowFirstColumn="0" w:lastRowLastColumn="0"/>
            <w:tcW w:w="1547" w:type="dxa"/>
          </w:tcPr>
          <w:p w14:paraId="7692D9B6" w14:textId="1200AA3A" w:rsidR="00BD4E40" w:rsidRPr="00BD6C45" w:rsidRDefault="00BD4E40"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Medium</w:t>
            </w:r>
          </w:p>
        </w:tc>
        <w:tc>
          <w:tcPr>
            <w:tcW w:w="2252" w:type="dxa"/>
            <w:tcBorders>
              <w:right w:val="single" w:sz="8" w:space="0" w:color="4BACC6" w:themeColor="accent5"/>
            </w:tcBorders>
          </w:tcPr>
          <w:p w14:paraId="5B8F0255" w14:textId="138D48A1" w:rsidR="00BD4E40" w:rsidRPr="00BD6C45" w:rsidRDefault="00BD4E40"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190081FE"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Cefamandole</w:t>
            </w:r>
          </w:p>
          <w:p w14:paraId="4387AF96"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Cefonicid</w:t>
            </w:r>
          </w:p>
          <w:p w14:paraId="4767DDD1"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Cefotiam</w:t>
            </w:r>
          </w:p>
          <w:p w14:paraId="76B569F9"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Cefprozil</w:t>
            </w:r>
          </w:p>
          <w:p w14:paraId="28AF6780" w14:textId="77777777" w:rsidR="00BD4E40" w:rsidRPr="00BD6C45" w:rsidRDefault="00BD4E40" w:rsidP="0087188A">
            <w:pPr>
              <w:pStyle w:val="Default"/>
              <w:tabs>
                <w:tab w:val="left" w:pos="2565"/>
              </w:tabs>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Cefroxadine</w:t>
            </w:r>
            <w:r w:rsidRPr="00BD6C45">
              <w:rPr>
                <w:rFonts w:ascii="Arial Narrow" w:hAnsi="Arial Narrow"/>
                <w:b w:val="0"/>
                <w:color w:val="auto"/>
                <w:sz w:val="21"/>
                <w:szCs w:val="21"/>
                <w:lang w:val="en-GB"/>
              </w:rPr>
              <w:tab/>
            </w:r>
          </w:p>
          <w:p w14:paraId="6C225EA8"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Ceftezole</w:t>
            </w:r>
          </w:p>
          <w:p w14:paraId="3DAE04DF"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Loracarbef</w:t>
            </w:r>
          </w:p>
          <w:p w14:paraId="2FB8EE1C" w14:textId="7D9645F8" w:rsidR="00122735" w:rsidRPr="00BD6C45" w:rsidRDefault="00122735" w:rsidP="0087188A">
            <w:pPr>
              <w:pStyle w:val="Default"/>
              <w:spacing w:line="276" w:lineRule="auto"/>
              <w:rPr>
                <w:rFonts w:ascii="Arial Narrow" w:hAnsi="Arial Narrow"/>
                <w:b w:val="0"/>
                <w:color w:val="auto"/>
                <w:sz w:val="21"/>
                <w:szCs w:val="21"/>
                <w:lang w:val="en-GB"/>
              </w:rPr>
            </w:pPr>
          </w:p>
        </w:tc>
      </w:tr>
      <w:tr w:rsidR="00BD4E40" w:rsidRPr="00BD6C45" w14:paraId="360C0EAF"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0900E980" w14:textId="27EFD22F" w:rsidR="00BD4E40" w:rsidRPr="00BD6C45" w:rsidRDefault="00BD4E40"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Cefamycins</w:t>
            </w:r>
          </w:p>
        </w:tc>
        <w:tc>
          <w:tcPr>
            <w:cnfStyle w:val="000010000000" w:firstRow="0" w:lastRow="0" w:firstColumn="0" w:lastColumn="0" w:oddVBand="1" w:evenVBand="0" w:oddHBand="0" w:evenHBand="0" w:firstRowFirstColumn="0" w:firstRowLastColumn="0" w:lastRowFirstColumn="0" w:lastRowLastColumn="0"/>
            <w:tcW w:w="1547" w:type="dxa"/>
          </w:tcPr>
          <w:p w14:paraId="030A834F" w14:textId="365F0BFF" w:rsidR="00BD4E40" w:rsidRPr="00BD6C45" w:rsidRDefault="00BD4E40"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Medium</w:t>
            </w:r>
          </w:p>
        </w:tc>
        <w:tc>
          <w:tcPr>
            <w:tcW w:w="2252" w:type="dxa"/>
            <w:tcBorders>
              <w:right w:val="single" w:sz="8" w:space="0" w:color="4BACC6" w:themeColor="accent5"/>
            </w:tcBorders>
          </w:tcPr>
          <w:p w14:paraId="455C1CD4" w14:textId="775C14F1" w:rsidR="00BD4E40" w:rsidRPr="00BD6C45" w:rsidRDefault="00BD4E40"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7369BC26"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Cefbuperazone</w:t>
            </w:r>
          </w:p>
          <w:p w14:paraId="3A63FB89"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Cefmetazole</w:t>
            </w:r>
          </w:p>
          <w:p w14:paraId="28B588D1"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Cefminox</w:t>
            </w:r>
          </w:p>
          <w:p w14:paraId="574E8FCB"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Cefotetan</w:t>
            </w:r>
          </w:p>
          <w:p w14:paraId="70E2560C" w14:textId="7BEF3EBA"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Flomexef</w:t>
            </w:r>
          </w:p>
        </w:tc>
      </w:tr>
      <w:tr w:rsidR="00BD4E40" w:rsidRPr="00BD6C45" w14:paraId="0D6A96AE"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079C2106" w14:textId="528E6A4A" w:rsidR="00BD4E40" w:rsidRPr="00BD6C45" w:rsidRDefault="00BD4E40"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3rd Generation Cephalosporins</w:t>
            </w:r>
          </w:p>
        </w:tc>
        <w:tc>
          <w:tcPr>
            <w:cnfStyle w:val="000010000000" w:firstRow="0" w:lastRow="0" w:firstColumn="0" w:lastColumn="0" w:oddVBand="1" w:evenVBand="0" w:oddHBand="0" w:evenHBand="0" w:firstRowFirstColumn="0" w:firstRowLastColumn="0" w:lastRowFirstColumn="0" w:lastRowLastColumn="0"/>
            <w:tcW w:w="1547" w:type="dxa"/>
          </w:tcPr>
          <w:p w14:paraId="0BABA7AB" w14:textId="3C908D8C" w:rsidR="00BD4E40" w:rsidRPr="00BD6C45" w:rsidRDefault="00BD4E40"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10930695" w14:textId="77777777" w:rsidR="00BD4E40" w:rsidRPr="00BD6C45" w:rsidRDefault="00BD4E40"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Cefovecin</w:t>
            </w:r>
          </w:p>
          <w:p w14:paraId="534BFF58" w14:textId="737049FB" w:rsidR="00BD4E40" w:rsidRPr="00BD6C45" w:rsidRDefault="00BD4E40"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Ceftiofur</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39E6A3AF"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Cefcapene</w:t>
            </w:r>
          </w:p>
          <w:p w14:paraId="60223728"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Cefdinir</w:t>
            </w:r>
          </w:p>
          <w:p w14:paraId="1BAAD76B"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Cefditoren</w:t>
            </w:r>
          </w:p>
          <w:p w14:paraId="0416EE34"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Cefetamet</w:t>
            </w:r>
          </w:p>
          <w:p w14:paraId="7EBCFB8E"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Cefixime</w:t>
            </w:r>
          </w:p>
          <w:p w14:paraId="330B7F68"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Cefmenoxime</w:t>
            </w:r>
          </w:p>
          <w:p w14:paraId="5B238655"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Cefodizime</w:t>
            </w:r>
          </w:p>
          <w:p w14:paraId="7CE544A4"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Cefoselis</w:t>
            </w:r>
          </w:p>
          <w:p w14:paraId="028738A6"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Cefazopran</w:t>
            </w:r>
          </w:p>
          <w:p w14:paraId="1894EF88"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Cefpiramide</w:t>
            </w:r>
          </w:p>
          <w:p w14:paraId="24B5E2DE"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Cefpodoxime</w:t>
            </w:r>
          </w:p>
          <w:p w14:paraId="70CD1A70"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Ceftizoxime</w:t>
            </w:r>
          </w:p>
          <w:p w14:paraId="077C38F2"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Ceftibuten</w:t>
            </w:r>
          </w:p>
          <w:p w14:paraId="43A151F0" w14:textId="77777777"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Latamoxef</w:t>
            </w:r>
          </w:p>
          <w:p w14:paraId="02ABA1CB" w14:textId="1ED13C9B" w:rsidR="00BD4E40" w:rsidRPr="00BD6C45" w:rsidRDefault="00BD4E40"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Cefquinome</w:t>
            </w:r>
          </w:p>
        </w:tc>
      </w:tr>
      <w:tr w:rsidR="0066436B" w:rsidRPr="00BD6C45" w14:paraId="27E25D6F"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4D2351F3" w14:textId="54D449F2"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4th Generation Cephalosporins (and anti pseudomonal)</w:t>
            </w:r>
          </w:p>
        </w:tc>
        <w:tc>
          <w:tcPr>
            <w:cnfStyle w:val="000010000000" w:firstRow="0" w:lastRow="0" w:firstColumn="0" w:lastColumn="0" w:oddVBand="1" w:evenVBand="0" w:oddHBand="0" w:evenHBand="0" w:firstRowFirstColumn="0" w:firstRowLastColumn="0" w:lastRowFirstColumn="0" w:lastRowLastColumn="0"/>
            <w:tcW w:w="1547" w:type="dxa"/>
          </w:tcPr>
          <w:p w14:paraId="5F0BC5B8" w14:textId="6F259D48"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48CB835C" w14:textId="110FC13B"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3DE88F73"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Cefsulodin</w:t>
            </w:r>
          </w:p>
          <w:p w14:paraId="1DD3F5E3"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Cefoperazone</w:t>
            </w:r>
          </w:p>
          <w:p w14:paraId="57BDD006" w14:textId="678CC766"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Cefpirome</w:t>
            </w:r>
          </w:p>
        </w:tc>
      </w:tr>
      <w:tr w:rsidR="0066436B" w:rsidRPr="00BD6C45" w14:paraId="41A8320D"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32272A57" w14:textId="3E4D4497" w:rsidR="0066436B" w:rsidRPr="00BD6C45" w:rsidRDefault="0066436B" w:rsidP="0087188A">
            <w:pPr>
              <w:pStyle w:val="Default1"/>
              <w:spacing w:line="276" w:lineRule="auto"/>
              <w:rPr>
                <w:rFonts w:ascii="Arial Narrow" w:hAnsi="Arial Narrow" w:cs="Arial Narrow"/>
                <w:color w:val="000000"/>
                <w:sz w:val="21"/>
                <w:szCs w:val="21"/>
                <w:lang w:val="en-GB"/>
              </w:rPr>
            </w:pPr>
            <w:r w:rsidRPr="00BD6C45">
              <w:rPr>
                <w:rFonts w:ascii="Arial Narrow" w:hAnsi="Arial Narrow" w:cs="Arial Narrow"/>
                <w:sz w:val="21"/>
                <w:szCs w:val="21"/>
                <w:lang w:val="en-GB"/>
              </w:rPr>
              <w:t>Anti-MRSA Cephalosporins</w:t>
            </w:r>
          </w:p>
        </w:tc>
        <w:tc>
          <w:tcPr>
            <w:cnfStyle w:val="000010000000" w:firstRow="0" w:lastRow="0" w:firstColumn="0" w:lastColumn="0" w:oddVBand="1" w:evenVBand="0" w:oddHBand="0" w:evenHBand="0" w:firstRowFirstColumn="0" w:firstRowLastColumn="0" w:lastRowFirstColumn="0" w:lastRowLastColumn="0"/>
            <w:tcW w:w="1547" w:type="dxa"/>
          </w:tcPr>
          <w:p w14:paraId="23901C3B" w14:textId="354D20E9"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6A97C7FE" w14:textId="6AF44C21"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100C4463" w14:textId="5BC083FE"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Ceftobiprole</w:t>
            </w:r>
          </w:p>
        </w:tc>
      </w:tr>
      <w:tr w:rsidR="0066436B" w:rsidRPr="00BD6C45" w14:paraId="189882BB"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6C94FD61" w14:textId="48E08B50"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Penems</w:t>
            </w:r>
          </w:p>
        </w:tc>
        <w:tc>
          <w:tcPr>
            <w:cnfStyle w:val="000010000000" w:firstRow="0" w:lastRow="0" w:firstColumn="0" w:lastColumn="0" w:oddVBand="1" w:evenVBand="0" w:oddHBand="0" w:evenHBand="0" w:firstRowFirstColumn="0" w:firstRowLastColumn="0" w:lastRowFirstColumn="0" w:lastRowLastColumn="0"/>
            <w:tcW w:w="1547" w:type="dxa"/>
          </w:tcPr>
          <w:p w14:paraId="2AC95838" w14:textId="694D4BDC"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094A1811" w14:textId="556421EB"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7A89EEBB" w14:textId="7682A0AA"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Faropenem</w:t>
            </w:r>
          </w:p>
        </w:tc>
      </w:tr>
      <w:tr w:rsidR="0066436B" w:rsidRPr="00BD6C45" w14:paraId="4A454C7D"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2DDC1115" w14:textId="671200D6"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Carbapenems</w:t>
            </w:r>
          </w:p>
        </w:tc>
        <w:tc>
          <w:tcPr>
            <w:cnfStyle w:val="000010000000" w:firstRow="0" w:lastRow="0" w:firstColumn="0" w:lastColumn="0" w:oddVBand="1" w:evenVBand="0" w:oddHBand="0" w:evenHBand="0" w:firstRowFirstColumn="0" w:firstRowLastColumn="0" w:lastRowFirstColumn="0" w:lastRowLastColumn="0"/>
            <w:tcW w:w="1547" w:type="dxa"/>
          </w:tcPr>
          <w:p w14:paraId="6E88219A" w14:textId="38B70834"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777DFC04" w14:textId="60C29366"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0AAEC5AB"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Biapenem</w:t>
            </w:r>
          </w:p>
          <w:p w14:paraId="373A1506" w14:textId="6DE1F634"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Panipenem</w:t>
            </w:r>
          </w:p>
        </w:tc>
      </w:tr>
      <w:tr w:rsidR="0066436B" w:rsidRPr="00BD6C45" w14:paraId="72D0E769"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5F9431EC" w14:textId="02BCBEF8"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Monobactams</w:t>
            </w:r>
          </w:p>
        </w:tc>
        <w:tc>
          <w:tcPr>
            <w:cnfStyle w:val="000010000000" w:firstRow="0" w:lastRow="0" w:firstColumn="0" w:lastColumn="0" w:oddVBand="1" w:evenVBand="0" w:oddHBand="0" w:evenHBand="0" w:firstRowFirstColumn="0" w:firstRowLastColumn="0" w:lastRowFirstColumn="0" w:lastRowLastColumn="0"/>
            <w:tcW w:w="1547" w:type="dxa"/>
          </w:tcPr>
          <w:p w14:paraId="534C14C2" w14:textId="1DF6E5F8"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28C53124" w14:textId="09AE9F12"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27C03263"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Carumonam</w:t>
            </w:r>
          </w:p>
          <w:p w14:paraId="1359BA1D"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Norcardicin A</w:t>
            </w:r>
          </w:p>
          <w:p w14:paraId="4BC8D645" w14:textId="74459C36"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Tigemonam</w:t>
            </w:r>
          </w:p>
        </w:tc>
      </w:tr>
      <w:tr w:rsidR="0066436B" w:rsidRPr="00BD6C45" w14:paraId="2012F859"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534A98E3" w14:textId="587D67E9"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Tetracyclines</w:t>
            </w:r>
          </w:p>
        </w:tc>
        <w:tc>
          <w:tcPr>
            <w:cnfStyle w:val="000010000000" w:firstRow="0" w:lastRow="0" w:firstColumn="0" w:lastColumn="0" w:oddVBand="1" w:evenVBand="0" w:oddHBand="0" w:evenHBand="0" w:firstRowFirstColumn="0" w:firstRowLastColumn="0" w:lastRowFirstColumn="0" w:lastRowLastColumn="0"/>
            <w:tcW w:w="1547" w:type="dxa"/>
          </w:tcPr>
          <w:p w14:paraId="6FD80C1C" w14:textId="5E08418A"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Low</w:t>
            </w:r>
          </w:p>
        </w:tc>
        <w:tc>
          <w:tcPr>
            <w:tcW w:w="2252" w:type="dxa"/>
            <w:tcBorders>
              <w:right w:val="single" w:sz="8" w:space="0" w:color="4BACC6" w:themeColor="accent5"/>
            </w:tcBorders>
          </w:tcPr>
          <w:p w14:paraId="7DC73A8C"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Chlortetracycline</w:t>
            </w:r>
          </w:p>
          <w:p w14:paraId="5F1E10E2"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Oxytetracycline</w:t>
            </w:r>
          </w:p>
          <w:p w14:paraId="1F7A8A0A"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strike/>
                <w:color w:val="auto"/>
                <w:sz w:val="21"/>
                <w:szCs w:val="21"/>
                <w:lang w:val="en-GB"/>
              </w:rPr>
            </w:pPr>
          </w:p>
          <w:p w14:paraId="4E559198"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22C8E701"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Clomoclocycline</w:t>
            </w:r>
          </w:p>
          <w:p w14:paraId="1052E489"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Demeclocyline</w:t>
            </w:r>
          </w:p>
          <w:p w14:paraId="57162712"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Lymecycline</w:t>
            </w:r>
          </w:p>
          <w:p w14:paraId="07E5CC70"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Metacycline</w:t>
            </w:r>
          </w:p>
          <w:p w14:paraId="15E09193"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Minocycline</w:t>
            </w:r>
          </w:p>
          <w:p w14:paraId="633D604F"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Penimepicycline</w:t>
            </w:r>
          </w:p>
          <w:p w14:paraId="78924FF9" w14:textId="44A4A179"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Rolitetracycline</w:t>
            </w:r>
          </w:p>
        </w:tc>
      </w:tr>
      <w:tr w:rsidR="0066436B" w:rsidRPr="00BD6C45" w14:paraId="16DF7E04"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12CE2F99" w14:textId="2E209000"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lastRenderedPageBreak/>
              <w:t>Glycylcyclines</w:t>
            </w:r>
          </w:p>
        </w:tc>
        <w:tc>
          <w:tcPr>
            <w:cnfStyle w:val="000010000000" w:firstRow="0" w:lastRow="0" w:firstColumn="0" w:lastColumn="0" w:oddVBand="1" w:evenVBand="0" w:oddHBand="0" w:evenHBand="0" w:firstRowFirstColumn="0" w:firstRowLastColumn="0" w:lastRowFirstColumn="0" w:lastRowLastColumn="0"/>
            <w:tcW w:w="1547" w:type="dxa"/>
          </w:tcPr>
          <w:p w14:paraId="0B04BC14" w14:textId="32412412"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3A375C6D" w14:textId="081198BD"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59E08F1F" w14:textId="3BB29B54" w:rsidR="0066436B" w:rsidRPr="00BD6C45" w:rsidRDefault="0066436B" w:rsidP="00CB1BD0">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Nil</w:t>
            </w:r>
          </w:p>
        </w:tc>
      </w:tr>
      <w:tr w:rsidR="0066436B" w:rsidRPr="00BD6C45" w14:paraId="41333D33"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16F22C8F" w14:textId="20821048"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Glycopeptides</w:t>
            </w:r>
          </w:p>
        </w:tc>
        <w:tc>
          <w:tcPr>
            <w:cnfStyle w:val="000010000000" w:firstRow="0" w:lastRow="0" w:firstColumn="0" w:lastColumn="0" w:oddVBand="1" w:evenVBand="0" w:oddHBand="0" w:evenHBand="0" w:firstRowFirstColumn="0" w:firstRowLastColumn="0" w:lastRowFirstColumn="0" w:lastRowLastColumn="0"/>
            <w:tcW w:w="1547" w:type="dxa"/>
          </w:tcPr>
          <w:p w14:paraId="63A419E7" w14:textId="38B75BB8"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29829659" w14:textId="6D467935"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0116D6A1"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Avoparcin</w:t>
            </w:r>
          </w:p>
          <w:p w14:paraId="64349782"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Dalbavancin</w:t>
            </w:r>
          </w:p>
          <w:p w14:paraId="50A538D5"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Oritavancin</w:t>
            </w:r>
          </w:p>
          <w:p w14:paraId="6D822A2E"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Ramoplanin</w:t>
            </w:r>
          </w:p>
          <w:p w14:paraId="11CEAF99" w14:textId="359908A5"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Telavancin</w:t>
            </w:r>
          </w:p>
        </w:tc>
      </w:tr>
      <w:tr w:rsidR="0066436B" w:rsidRPr="00BD6C45" w14:paraId="20AC1A01"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65BFA557" w14:textId="3051E746"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Aminoglycosides</w:t>
            </w:r>
          </w:p>
        </w:tc>
        <w:tc>
          <w:tcPr>
            <w:cnfStyle w:val="000010000000" w:firstRow="0" w:lastRow="0" w:firstColumn="0" w:lastColumn="0" w:oddVBand="1" w:evenVBand="0" w:oddHBand="0" w:evenHBand="0" w:firstRowFirstColumn="0" w:firstRowLastColumn="0" w:lastRowFirstColumn="0" w:lastRowLastColumn="0"/>
            <w:tcW w:w="1547" w:type="dxa"/>
          </w:tcPr>
          <w:p w14:paraId="0436F651" w14:textId="51222C17"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Low-Medium-High</w:t>
            </w:r>
          </w:p>
        </w:tc>
        <w:tc>
          <w:tcPr>
            <w:tcW w:w="2252" w:type="dxa"/>
            <w:tcBorders>
              <w:right w:val="single" w:sz="8" w:space="0" w:color="4BACC6" w:themeColor="accent5"/>
            </w:tcBorders>
          </w:tcPr>
          <w:p w14:paraId="27024905" w14:textId="77777777"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Apramycin</w:t>
            </w:r>
          </w:p>
          <w:p w14:paraId="1DB8166A" w14:textId="77777777"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Dihydrostreptomycin</w:t>
            </w:r>
          </w:p>
          <w:p w14:paraId="3A40B2EE" w14:textId="77777777"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Spectinomycin</w:t>
            </w:r>
          </w:p>
          <w:p w14:paraId="4B9430A1" w14:textId="45215E35"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1048A0A5"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Arbekacin</w:t>
            </w:r>
          </w:p>
          <w:p w14:paraId="4D47A625"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Bekanamycin</w:t>
            </w:r>
          </w:p>
          <w:p w14:paraId="50BDA8DD"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Dibekacin</w:t>
            </w:r>
          </w:p>
          <w:p w14:paraId="170414C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Isepamicin</w:t>
            </w:r>
          </w:p>
          <w:p w14:paraId="129EF99B"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Kanamycin</w:t>
            </w:r>
          </w:p>
          <w:p w14:paraId="77DA6FD2"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Netilimicin</w:t>
            </w:r>
          </w:p>
          <w:p w14:paraId="1200B431"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Ribostamycin</w:t>
            </w:r>
          </w:p>
          <w:p w14:paraId="400D7AAA"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Sisomicin</w:t>
            </w:r>
          </w:p>
          <w:p w14:paraId="29A7AD32" w14:textId="6027B4CE"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Streptoduocin</w:t>
            </w:r>
          </w:p>
        </w:tc>
      </w:tr>
      <w:tr w:rsidR="0066436B" w:rsidRPr="00BD6C45" w14:paraId="0075F5FB"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056E4CBE" w14:textId="63A4D957"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Sulfonamides and DHFR inhibitors</w:t>
            </w:r>
          </w:p>
        </w:tc>
        <w:tc>
          <w:tcPr>
            <w:cnfStyle w:val="000010000000" w:firstRow="0" w:lastRow="0" w:firstColumn="0" w:lastColumn="0" w:oddVBand="1" w:evenVBand="0" w:oddHBand="0" w:evenHBand="0" w:firstRowFirstColumn="0" w:firstRowLastColumn="0" w:lastRowFirstColumn="0" w:lastRowLastColumn="0"/>
            <w:tcW w:w="1547" w:type="dxa"/>
          </w:tcPr>
          <w:p w14:paraId="7382C739" w14:textId="4632D9A3"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Low-Medium</w:t>
            </w:r>
          </w:p>
        </w:tc>
        <w:tc>
          <w:tcPr>
            <w:tcW w:w="2252" w:type="dxa"/>
            <w:tcBorders>
              <w:right w:val="single" w:sz="8" w:space="0" w:color="4BACC6" w:themeColor="accent5"/>
            </w:tcBorders>
          </w:tcPr>
          <w:p w14:paraId="27D425CC"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Sulfacetamide</w:t>
            </w:r>
          </w:p>
          <w:p w14:paraId="10BAC5F3"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Sulfadimidine</w:t>
            </w:r>
          </w:p>
          <w:p w14:paraId="6848AFA6"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Sulfaquinoxaline</w:t>
            </w:r>
          </w:p>
          <w:p w14:paraId="4787723C"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Sulfamerazine</w:t>
            </w:r>
          </w:p>
          <w:p w14:paraId="32363619"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Sulfathiazole</w:t>
            </w:r>
          </w:p>
          <w:p w14:paraId="5A607BAF" w14:textId="64C62FCD"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Phthalylsulfathiazole</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16347EC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Baquiloprim</w:t>
            </w:r>
          </w:p>
          <w:p w14:paraId="76F198B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Brodimoprim</w:t>
            </w:r>
          </w:p>
          <w:p w14:paraId="2D7DD784"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Iclaprim</w:t>
            </w:r>
          </w:p>
          <w:p w14:paraId="4FC1ADCE"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Ormetaprim</w:t>
            </w:r>
          </w:p>
          <w:p w14:paraId="5435A348"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Pyrimethamine</w:t>
            </w:r>
          </w:p>
          <w:p w14:paraId="28C5ED21"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Sulfachlorpyridazine</w:t>
            </w:r>
          </w:p>
          <w:p w14:paraId="4C26DB03"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Sulfadimerazin</w:t>
            </w:r>
          </w:p>
          <w:p w14:paraId="09ACDBA2"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Sulfadimethoxazole</w:t>
            </w:r>
          </w:p>
          <w:p w14:paraId="47728BA6"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Sulfadimethoxine</w:t>
            </w:r>
          </w:p>
          <w:p w14:paraId="1064492E"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Sulfafurazole = sulfisoxazole</w:t>
            </w:r>
          </w:p>
          <w:p w14:paraId="7258366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Sulfaguanidine</w:t>
            </w:r>
          </w:p>
          <w:p w14:paraId="3D2D4087"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Sulfaisomidine</w:t>
            </w:r>
          </w:p>
          <w:p w14:paraId="0C114CCB"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Sulfalene</w:t>
            </w:r>
          </w:p>
          <w:p w14:paraId="0EBBC1BE"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Sulfamazone</w:t>
            </w:r>
          </w:p>
          <w:p w14:paraId="54046020"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Sulfamethazine</w:t>
            </w:r>
          </w:p>
          <w:p w14:paraId="46E89E1E"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Sulfamethizole</w:t>
            </w:r>
          </w:p>
          <w:p w14:paraId="6506AD5A"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Sulfamethoxazole (alone)</w:t>
            </w:r>
          </w:p>
          <w:p w14:paraId="4C354856"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Sulfamethoxine</w:t>
            </w:r>
          </w:p>
          <w:p w14:paraId="3324E1A3"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Sulfamethoxypyridazine</w:t>
            </w:r>
          </w:p>
          <w:p w14:paraId="28F0EE40"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Sulfametomidine</w:t>
            </w:r>
          </w:p>
          <w:p w14:paraId="3DF0E464"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Sulfamethoxydiazine</w:t>
            </w:r>
          </w:p>
          <w:p w14:paraId="5D76B3AE"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Sulfametrole</w:t>
            </w:r>
          </w:p>
          <w:p w14:paraId="2DD814D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Sulfamonomethoxine</w:t>
            </w:r>
          </w:p>
          <w:p w14:paraId="55A56FC0"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Sulfamoxole</w:t>
            </w:r>
          </w:p>
          <w:p w14:paraId="46BCF031"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Sulfanilamide</w:t>
            </w:r>
          </w:p>
          <w:p w14:paraId="595760AA"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Sulfaperin</w:t>
            </w:r>
          </w:p>
          <w:p w14:paraId="082443E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Sulfaphenazole</w:t>
            </w:r>
          </w:p>
          <w:p w14:paraId="724EEA0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Sulfapyridine</w:t>
            </w:r>
          </w:p>
          <w:p w14:paraId="494911DE"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Sulfathiourea</w:t>
            </w:r>
          </w:p>
          <w:p w14:paraId="133F43EC"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Tetroxaprim</w:t>
            </w:r>
          </w:p>
          <w:p w14:paraId="3FD2438B" w14:textId="4DFDB59D" w:rsidR="0066436B" w:rsidRPr="00BD6C45" w:rsidRDefault="0066436B" w:rsidP="00CB1BD0">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Ormosulfathiazole</w:t>
            </w:r>
          </w:p>
        </w:tc>
      </w:tr>
      <w:tr w:rsidR="0066436B" w:rsidRPr="00BD6C45" w14:paraId="428423F8"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486A406D" w14:textId="0226CC85"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lastRenderedPageBreak/>
              <w:t>Oxazolidinones</w:t>
            </w:r>
          </w:p>
        </w:tc>
        <w:tc>
          <w:tcPr>
            <w:cnfStyle w:val="000010000000" w:firstRow="0" w:lastRow="0" w:firstColumn="0" w:lastColumn="0" w:oddVBand="1" w:evenVBand="0" w:oddHBand="0" w:evenHBand="0" w:firstRowFirstColumn="0" w:firstRowLastColumn="0" w:lastRowFirstColumn="0" w:lastRowLastColumn="0"/>
            <w:tcW w:w="1547" w:type="dxa"/>
          </w:tcPr>
          <w:p w14:paraId="2F366FD0" w14:textId="2580AB10"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5464A7A4" w14:textId="542F46C0"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2EC7E6D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Tolezolid</w:t>
            </w:r>
          </w:p>
          <w:p w14:paraId="648E4F46" w14:textId="6EBD540F" w:rsidR="00F07127" w:rsidRPr="00BD6C45" w:rsidRDefault="00F07127" w:rsidP="0087188A">
            <w:pPr>
              <w:pStyle w:val="Default"/>
              <w:spacing w:line="276" w:lineRule="auto"/>
              <w:rPr>
                <w:rFonts w:ascii="Arial Narrow" w:hAnsi="Arial Narrow"/>
                <w:b w:val="0"/>
                <w:color w:val="auto"/>
                <w:sz w:val="21"/>
                <w:szCs w:val="21"/>
                <w:lang w:val="en-GB"/>
              </w:rPr>
            </w:pPr>
          </w:p>
        </w:tc>
      </w:tr>
      <w:tr w:rsidR="0066436B" w:rsidRPr="00BD6C45" w14:paraId="6A0DC7CA"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6264BE61" w14:textId="27E23169"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Macrolides</w:t>
            </w:r>
          </w:p>
        </w:tc>
        <w:tc>
          <w:tcPr>
            <w:cnfStyle w:val="000010000000" w:firstRow="0" w:lastRow="0" w:firstColumn="0" w:lastColumn="0" w:oddVBand="1" w:evenVBand="0" w:oddHBand="0" w:evenHBand="0" w:firstRowFirstColumn="0" w:firstRowLastColumn="0" w:lastRowFirstColumn="0" w:lastRowLastColumn="0"/>
            <w:tcW w:w="1547" w:type="dxa"/>
          </w:tcPr>
          <w:p w14:paraId="4DE86E8C" w14:textId="2B8E4D42"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Low</w:t>
            </w:r>
          </w:p>
        </w:tc>
        <w:tc>
          <w:tcPr>
            <w:tcW w:w="2252" w:type="dxa"/>
            <w:tcBorders>
              <w:right w:val="single" w:sz="8" w:space="0" w:color="4BACC6" w:themeColor="accent5"/>
            </w:tcBorders>
          </w:tcPr>
          <w:p w14:paraId="0D3694BA"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Kitasamycin</w:t>
            </w:r>
          </w:p>
          <w:p w14:paraId="01F45C72"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Oleandomycin</w:t>
            </w:r>
          </w:p>
          <w:p w14:paraId="168B2FB9"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Tilmicosin</w:t>
            </w:r>
          </w:p>
          <w:p w14:paraId="74B2896C"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Tulathromycin</w:t>
            </w:r>
          </w:p>
          <w:p w14:paraId="004EF471"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Tylosin</w:t>
            </w:r>
          </w:p>
          <w:p w14:paraId="68E5CC7F" w14:textId="69FD4082"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170B428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Dirithromycin</w:t>
            </w:r>
          </w:p>
          <w:p w14:paraId="26051E20"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Flurithromycin</w:t>
            </w:r>
          </w:p>
          <w:p w14:paraId="2D61719D"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Gamithromycin</w:t>
            </w:r>
          </w:p>
          <w:p w14:paraId="0E507286"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Josamycin</w:t>
            </w:r>
          </w:p>
          <w:p w14:paraId="3F463407"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Midecamycin</w:t>
            </w:r>
          </w:p>
          <w:p w14:paraId="0346D6F9"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Miocamycin</w:t>
            </w:r>
          </w:p>
          <w:p w14:paraId="4FB1CD8C"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Mirosamycin</w:t>
            </w:r>
          </w:p>
          <w:p w14:paraId="73274B73"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Rokitamycin</w:t>
            </w:r>
          </w:p>
          <w:p w14:paraId="45867895"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Telithromycin</w:t>
            </w:r>
          </w:p>
          <w:p w14:paraId="52CCC511"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Terdecamycin</w:t>
            </w:r>
          </w:p>
          <w:p w14:paraId="14B10E52"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Tildipirosin</w:t>
            </w:r>
          </w:p>
          <w:p w14:paraId="677F1DE7"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Troleandomycin</w:t>
            </w:r>
          </w:p>
          <w:p w14:paraId="52E30398" w14:textId="12AB1704"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Tylvalosin</w:t>
            </w:r>
          </w:p>
        </w:tc>
      </w:tr>
      <w:tr w:rsidR="0066436B" w:rsidRPr="00BD6C45" w14:paraId="450762DA"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2DB68DF7" w14:textId="53924F64"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Lincosamides</w:t>
            </w:r>
          </w:p>
        </w:tc>
        <w:tc>
          <w:tcPr>
            <w:cnfStyle w:val="000010000000" w:firstRow="0" w:lastRow="0" w:firstColumn="0" w:lastColumn="0" w:oddVBand="1" w:evenVBand="0" w:oddHBand="0" w:evenHBand="0" w:firstRowFirstColumn="0" w:firstRowLastColumn="0" w:lastRowFirstColumn="0" w:lastRowLastColumn="0"/>
            <w:tcW w:w="1547" w:type="dxa"/>
          </w:tcPr>
          <w:p w14:paraId="4F7100B1" w14:textId="2EFC850C"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Medium</w:t>
            </w:r>
          </w:p>
        </w:tc>
        <w:tc>
          <w:tcPr>
            <w:tcW w:w="2252" w:type="dxa"/>
            <w:tcBorders>
              <w:right w:val="single" w:sz="8" w:space="0" w:color="4BACC6" w:themeColor="accent5"/>
            </w:tcBorders>
          </w:tcPr>
          <w:p w14:paraId="4A38C190" w14:textId="2888EF68"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70043E6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Pirlimycin</w:t>
            </w:r>
          </w:p>
          <w:p w14:paraId="58260129" w14:textId="081638BA" w:rsidR="0066436B" w:rsidRPr="00BD6C45" w:rsidRDefault="0066436B" w:rsidP="0087188A">
            <w:pPr>
              <w:pStyle w:val="Default"/>
              <w:spacing w:line="276" w:lineRule="auto"/>
              <w:rPr>
                <w:rFonts w:ascii="Arial Narrow" w:hAnsi="Arial Narrow"/>
                <w:b w:val="0"/>
                <w:color w:val="auto"/>
                <w:sz w:val="21"/>
                <w:szCs w:val="21"/>
                <w:lang w:val="en-GB"/>
              </w:rPr>
            </w:pPr>
          </w:p>
        </w:tc>
      </w:tr>
      <w:tr w:rsidR="0066436B" w:rsidRPr="00BD6C45" w14:paraId="2044D1AB"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476820AF" w14:textId="236F3C7F"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Streptogramins</w:t>
            </w:r>
          </w:p>
        </w:tc>
        <w:tc>
          <w:tcPr>
            <w:cnfStyle w:val="000010000000" w:firstRow="0" w:lastRow="0" w:firstColumn="0" w:lastColumn="0" w:oddVBand="1" w:evenVBand="0" w:oddHBand="0" w:evenHBand="0" w:firstRowFirstColumn="0" w:firstRowLastColumn="0" w:lastRowFirstColumn="0" w:lastRowLastColumn="0"/>
            <w:tcW w:w="1547" w:type="dxa"/>
          </w:tcPr>
          <w:p w14:paraId="00BAAB1A" w14:textId="7D7094DF"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1442A98A" w14:textId="630C2CD1"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Virginiamycin</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5C6EC33D" w14:textId="0517D7AD"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Nil</w:t>
            </w:r>
          </w:p>
        </w:tc>
      </w:tr>
      <w:tr w:rsidR="0066436B" w:rsidRPr="00BD6C45" w14:paraId="7D0AF059"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0B2C4878" w14:textId="2566E6BF"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Nitroimidazoles</w:t>
            </w:r>
          </w:p>
        </w:tc>
        <w:tc>
          <w:tcPr>
            <w:cnfStyle w:val="000010000000" w:firstRow="0" w:lastRow="0" w:firstColumn="0" w:lastColumn="0" w:oddVBand="1" w:evenVBand="0" w:oddHBand="0" w:evenHBand="0" w:firstRowFirstColumn="0" w:firstRowLastColumn="0" w:lastRowFirstColumn="0" w:lastRowLastColumn="0"/>
            <w:tcW w:w="1547" w:type="dxa"/>
          </w:tcPr>
          <w:p w14:paraId="3CE4D1AD" w14:textId="77AEF9F6"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Medium</w:t>
            </w:r>
          </w:p>
        </w:tc>
        <w:tc>
          <w:tcPr>
            <w:tcW w:w="2252" w:type="dxa"/>
            <w:tcBorders>
              <w:right w:val="single" w:sz="8" w:space="0" w:color="4BACC6" w:themeColor="accent5"/>
            </w:tcBorders>
          </w:tcPr>
          <w:p w14:paraId="0EB844A3" w14:textId="77777777"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Dimetridazole</w:t>
            </w:r>
          </w:p>
          <w:p w14:paraId="314CA886" w14:textId="4E2DD4D7"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Ronidazole</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3700A911"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Ordinazole</w:t>
            </w:r>
          </w:p>
          <w:p w14:paraId="64E9EBE1" w14:textId="7EB9BFD1" w:rsidR="0066436B" w:rsidRPr="00BD6C45" w:rsidRDefault="0066436B" w:rsidP="0087188A">
            <w:pPr>
              <w:pStyle w:val="Default"/>
              <w:spacing w:line="276" w:lineRule="auto"/>
              <w:rPr>
                <w:rFonts w:ascii="Arial Narrow" w:hAnsi="Arial Narrow"/>
                <w:b w:val="0"/>
                <w:color w:val="auto"/>
                <w:sz w:val="21"/>
                <w:szCs w:val="21"/>
                <w:lang w:val="en-GB"/>
              </w:rPr>
            </w:pPr>
          </w:p>
        </w:tc>
      </w:tr>
      <w:tr w:rsidR="0066436B" w:rsidRPr="00BD6C45" w14:paraId="614AD1C2"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27B38FD4" w14:textId="2F07AFAD"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Quinolones</w:t>
            </w:r>
          </w:p>
        </w:tc>
        <w:tc>
          <w:tcPr>
            <w:cnfStyle w:val="000010000000" w:firstRow="0" w:lastRow="0" w:firstColumn="0" w:lastColumn="0" w:oddVBand="1" w:evenVBand="0" w:oddHBand="0" w:evenHBand="0" w:firstRowFirstColumn="0" w:firstRowLastColumn="0" w:lastRowFirstColumn="0" w:lastRowLastColumn="0"/>
            <w:tcW w:w="1547" w:type="dxa"/>
          </w:tcPr>
          <w:p w14:paraId="2EA1777B" w14:textId="54EB5471"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63134FA9"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Enrofloxacin</w:t>
            </w:r>
          </w:p>
          <w:p w14:paraId="76E3F3B6"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Ibafloxacin</w:t>
            </w:r>
          </w:p>
          <w:p w14:paraId="22098DD9"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Marbofloxacin</w:t>
            </w:r>
          </w:p>
          <w:p w14:paraId="33F22750" w14:textId="639373B4"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Orbifloxacin</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2F62B9A2"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Cinoxacin</w:t>
            </w:r>
          </w:p>
          <w:p w14:paraId="79784820"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Danofloxacin</w:t>
            </w:r>
          </w:p>
          <w:p w14:paraId="1673F062"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Difloxacin</w:t>
            </w:r>
          </w:p>
          <w:p w14:paraId="78D9A3B5"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Enoxacin</w:t>
            </w:r>
          </w:p>
          <w:p w14:paraId="506A5B3A"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Fleroxacin</w:t>
            </w:r>
          </w:p>
          <w:p w14:paraId="1B3A9F4F"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Flumequine</w:t>
            </w:r>
          </w:p>
          <w:p w14:paraId="32FE4802"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Garenoxacin</w:t>
            </w:r>
          </w:p>
          <w:p w14:paraId="601D31F1"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Gemifloxacin</w:t>
            </w:r>
          </w:p>
          <w:p w14:paraId="5B11D3C0"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Grepafloxacin</w:t>
            </w:r>
          </w:p>
          <w:p w14:paraId="55F5477D"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Lomefloxacin</w:t>
            </w:r>
          </w:p>
          <w:p w14:paraId="3DC45EFA"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Miloxacin</w:t>
            </w:r>
          </w:p>
          <w:p w14:paraId="317C6B1F" w14:textId="77777777" w:rsidR="0066436B" w:rsidRPr="00BD6C45" w:rsidRDefault="0066436B" w:rsidP="0087188A">
            <w:pPr>
              <w:pStyle w:val="Default"/>
              <w:spacing w:line="276" w:lineRule="auto"/>
              <w:rPr>
                <w:rFonts w:ascii="Arial Narrow" w:hAnsi="Arial Narrow"/>
                <w:b w:val="0"/>
                <w:color w:val="auto"/>
                <w:sz w:val="21"/>
                <w:szCs w:val="21"/>
                <w:lang w:val="fr-FR"/>
              </w:rPr>
            </w:pPr>
            <w:r w:rsidRPr="00BD6C45">
              <w:rPr>
                <w:rFonts w:ascii="Arial Narrow" w:hAnsi="Arial Narrow"/>
                <w:b w:val="0"/>
                <w:color w:val="auto"/>
                <w:sz w:val="21"/>
                <w:szCs w:val="21"/>
                <w:lang w:val="fr-FR"/>
              </w:rPr>
              <w:t>Nalidixic acid</w:t>
            </w:r>
          </w:p>
          <w:p w14:paraId="0D2656FC"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Oxolinic acid</w:t>
            </w:r>
          </w:p>
          <w:p w14:paraId="12E3C968"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Pazufloxacin</w:t>
            </w:r>
          </w:p>
          <w:p w14:paraId="47B255AD"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Pefloxacin</w:t>
            </w:r>
          </w:p>
          <w:p w14:paraId="1F8D9ED9"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Pipemidic acid</w:t>
            </w:r>
          </w:p>
          <w:p w14:paraId="1713ABD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Piromidic acid</w:t>
            </w:r>
          </w:p>
          <w:p w14:paraId="68B556F6"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Pradofloxacin</w:t>
            </w:r>
          </w:p>
          <w:p w14:paraId="0FD60A1D"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Prulifloxacin</w:t>
            </w:r>
          </w:p>
          <w:p w14:paraId="214EBFD9"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Rosoxacin</w:t>
            </w:r>
          </w:p>
          <w:p w14:paraId="65229BFB"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Rufloxacin</w:t>
            </w:r>
          </w:p>
          <w:p w14:paraId="7BC6D634"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Sarafloxacin</w:t>
            </w:r>
          </w:p>
          <w:p w14:paraId="161489EC"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Sitafloxacin</w:t>
            </w:r>
          </w:p>
          <w:p w14:paraId="2CFBCE1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Sparfloxacin</w:t>
            </w:r>
          </w:p>
          <w:p w14:paraId="531F3541"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Temafloxacin</w:t>
            </w:r>
          </w:p>
          <w:p w14:paraId="47A35D9B" w14:textId="192D288C" w:rsidR="0066436B" w:rsidRPr="00BD6C45" w:rsidRDefault="0066436B" w:rsidP="00CB1BD0">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Trovafloxacin</w:t>
            </w:r>
          </w:p>
        </w:tc>
      </w:tr>
      <w:tr w:rsidR="0066436B" w:rsidRPr="00BD6C45" w14:paraId="611ABE47"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412476BD" w14:textId="58BC2F3F"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lastRenderedPageBreak/>
              <w:t>Antimycobacterials</w:t>
            </w:r>
          </w:p>
        </w:tc>
        <w:tc>
          <w:tcPr>
            <w:cnfStyle w:val="000010000000" w:firstRow="0" w:lastRow="0" w:firstColumn="0" w:lastColumn="0" w:oddVBand="1" w:evenVBand="0" w:oddHBand="0" w:evenHBand="0" w:firstRowFirstColumn="0" w:firstRowLastColumn="0" w:lastRowFirstColumn="0" w:lastRowLastColumn="0"/>
            <w:tcW w:w="1547" w:type="dxa"/>
          </w:tcPr>
          <w:p w14:paraId="2EEC045B" w14:textId="466D6751"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57BD6517" w14:textId="6E2169B0"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53030EEE"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Calcium aminosalicylate</w:t>
            </w:r>
          </w:p>
          <w:p w14:paraId="3760B31A"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Capreomycin</w:t>
            </w:r>
          </w:p>
          <w:p w14:paraId="13C3C2D7"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Morinamide</w:t>
            </w:r>
          </w:p>
          <w:p w14:paraId="58167624"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Sodium aminosalicylate</w:t>
            </w:r>
          </w:p>
          <w:p w14:paraId="70BF1A38"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Terizadone</w:t>
            </w:r>
          </w:p>
          <w:p w14:paraId="5CD8F072"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Tiocarlide</w:t>
            </w:r>
          </w:p>
          <w:p w14:paraId="255C4DA0" w14:textId="6E5DB9B2" w:rsidR="0066436B" w:rsidRPr="00BD6C45" w:rsidRDefault="0066436B" w:rsidP="0087188A">
            <w:pPr>
              <w:pStyle w:val="Default"/>
              <w:spacing w:line="276" w:lineRule="auto"/>
              <w:rPr>
                <w:rFonts w:ascii="Arial Narrow" w:hAnsi="Arial Narrow"/>
                <w:b w:val="0"/>
                <w:color w:val="auto"/>
                <w:sz w:val="21"/>
                <w:szCs w:val="21"/>
                <w:lang w:val="en-GB"/>
              </w:rPr>
            </w:pPr>
          </w:p>
        </w:tc>
      </w:tr>
      <w:tr w:rsidR="0066436B" w:rsidRPr="00BD6C45" w14:paraId="64FA243D"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5A028AC0" w14:textId="2C9650C1"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Antileprotics</w:t>
            </w:r>
          </w:p>
        </w:tc>
        <w:tc>
          <w:tcPr>
            <w:cnfStyle w:val="000010000000" w:firstRow="0" w:lastRow="0" w:firstColumn="0" w:lastColumn="0" w:oddVBand="1" w:evenVBand="0" w:oddHBand="0" w:evenHBand="0" w:firstRowFirstColumn="0" w:firstRowLastColumn="0" w:lastRowFirstColumn="0" w:lastRowLastColumn="0"/>
            <w:tcW w:w="1547" w:type="dxa"/>
          </w:tcPr>
          <w:p w14:paraId="2E91C33D" w14:textId="1DA4C2D9"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28FBCCAF" w14:textId="54D3C44A"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4DDE9F31"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Aldesulfone</w:t>
            </w:r>
          </w:p>
          <w:p w14:paraId="147B9B1B" w14:textId="3B7BDCB5" w:rsidR="0066436B" w:rsidRPr="00BD6C45" w:rsidRDefault="0066436B" w:rsidP="0087188A">
            <w:pPr>
              <w:pStyle w:val="Default"/>
              <w:spacing w:line="276" w:lineRule="auto"/>
              <w:rPr>
                <w:rFonts w:ascii="Arial Narrow" w:hAnsi="Arial Narrow"/>
                <w:b w:val="0"/>
                <w:color w:val="auto"/>
                <w:sz w:val="21"/>
                <w:szCs w:val="21"/>
                <w:lang w:val="en-GB"/>
              </w:rPr>
            </w:pPr>
          </w:p>
        </w:tc>
      </w:tr>
      <w:tr w:rsidR="0066436B" w:rsidRPr="00BD6C45" w14:paraId="738E31F4"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6B4D124C" w14:textId="24B575A3"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Rifamycins</w:t>
            </w:r>
          </w:p>
        </w:tc>
        <w:tc>
          <w:tcPr>
            <w:cnfStyle w:val="000010000000" w:firstRow="0" w:lastRow="0" w:firstColumn="0" w:lastColumn="0" w:oddVBand="1" w:evenVBand="0" w:oddHBand="0" w:evenHBand="0" w:firstRowFirstColumn="0" w:firstRowLastColumn="0" w:lastRowFirstColumn="0" w:lastRowLastColumn="0"/>
            <w:tcW w:w="1547" w:type="dxa"/>
          </w:tcPr>
          <w:p w14:paraId="06C3DB29" w14:textId="606EBEC3"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22BB5697" w14:textId="139922CC"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30BDF03B"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Rifapentine</w:t>
            </w:r>
          </w:p>
          <w:p w14:paraId="07F59628" w14:textId="01B5C494"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Rifamycin</w:t>
            </w:r>
          </w:p>
        </w:tc>
      </w:tr>
      <w:tr w:rsidR="0066436B" w:rsidRPr="00BD6C45" w14:paraId="04DCDC76"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311F4B0A" w14:textId="2E0D9343"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Polypeptides</w:t>
            </w:r>
          </w:p>
        </w:tc>
        <w:tc>
          <w:tcPr>
            <w:cnfStyle w:val="000010000000" w:firstRow="0" w:lastRow="0" w:firstColumn="0" w:lastColumn="0" w:oddVBand="1" w:evenVBand="0" w:oddHBand="0" w:evenHBand="0" w:firstRowFirstColumn="0" w:firstRowLastColumn="0" w:lastRowFirstColumn="0" w:lastRowLastColumn="0"/>
            <w:tcW w:w="1547" w:type="dxa"/>
          </w:tcPr>
          <w:p w14:paraId="188E799B" w14:textId="59D7341A"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Low</w:t>
            </w:r>
          </w:p>
        </w:tc>
        <w:tc>
          <w:tcPr>
            <w:tcW w:w="2252" w:type="dxa"/>
            <w:tcBorders>
              <w:right w:val="single" w:sz="8" w:space="0" w:color="4BACC6" w:themeColor="accent5"/>
            </w:tcBorders>
          </w:tcPr>
          <w:p w14:paraId="2CDBE0EA" w14:textId="2FF69D3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Thiostrepton</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708E0618" w14:textId="77777777" w:rsidR="0066436B" w:rsidRPr="00BD6C45" w:rsidRDefault="0066436B" w:rsidP="0087188A">
            <w:pPr>
              <w:pStyle w:val="Default"/>
              <w:spacing w:line="276" w:lineRule="auto"/>
              <w:rPr>
                <w:rFonts w:ascii="Arial Narrow" w:hAnsi="Arial Narrow"/>
                <w:b w:val="0"/>
                <w:color w:val="auto"/>
                <w:sz w:val="21"/>
                <w:szCs w:val="21"/>
                <w:lang w:val="en-GB"/>
              </w:rPr>
            </w:pPr>
            <w:bookmarkStart w:id="9" w:name="OLE_LINK1"/>
            <w:r w:rsidRPr="00BD6C45">
              <w:rPr>
                <w:rFonts w:ascii="Arial Narrow" w:hAnsi="Arial Narrow"/>
                <w:b w:val="0"/>
                <w:color w:val="auto"/>
                <w:sz w:val="21"/>
                <w:szCs w:val="21"/>
                <w:lang w:val="en-GB"/>
              </w:rPr>
              <w:t>Enramycin</w:t>
            </w:r>
            <w:bookmarkEnd w:id="9"/>
          </w:p>
          <w:p w14:paraId="40FEAA6D" w14:textId="6AD4AEB6" w:rsidR="0066436B" w:rsidRPr="00BD6C45" w:rsidRDefault="0066436B" w:rsidP="0087188A">
            <w:pPr>
              <w:pStyle w:val="Default"/>
              <w:spacing w:line="276" w:lineRule="auto"/>
              <w:rPr>
                <w:rFonts w:ascii="Arial Narrow" w:hAnsi="Arial Narrow"/>
                <w:b w:val="0"/>
                <w:color w:val="auto"/>
                <w:sz w:val="21"/>
                <w:szCs w:val="21"/>
                <w:lang w:val="en-GB"/>
              </w:rPr>
            </w:pPr>
          </w:p>
        </w:tc>
      </w:tr>
      <w:tr w:rsidR="0066436B" w:rsidRPr="00BD6C45" w14:paraId="797C8BE3"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28024B93" w14:textId="727586C7"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Polymyxins</w:t>
            </w:r>
          </w:p>
        </w:tc>
        <w:tc>
          <w:tcPr>
            <w:cnfStyle w:val="000010000000" w:firstRow="0" w:lastRow="0" w:firstColumn="0" w:lastColumn="0" w:oddVBand="1" w:evenVBand="0" w:oddHBand="0" w:evenHBand="0" w:firstRowFirstColumn="0" w:firstRowLastColumn="0" w:lastRowFirstColumn="0" w:lastRowLastColumn="0"/>
            <w:tcW w:w="1547" w:type="dxa"/>
          </w:tcPr>
          <w:p w14:paraId="7B19FC6C" w14:textId="21C06B84"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2EF5BA04" w14:textId="6DE97E18"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138CCB1F"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Nil</w:t>
            </w:r>
          </w:p>
          <w:p w14:paraId="23EDEBD2" w14:textId="2804A4D2" w:rsidR="0066436B" w:rsidRPr="00BD6C45" w:rsidRDefault="0066436B" w:rsidP="0087188A">
            <w:pPr>
              <w:pStyle w:val="Default"/>
              <w:spacing w:line="276" w:lineRule="auto"/>
              <w:rPr>
                <w:rFonts w:ascii="Arial Narrow" w:hAnsi="Arial Narrow"/>
                <w:b w:val="0"/>
                <w:color w:val="auto"/>
                <w:sz w:val="21"/>
                <w:szCs w:val="21"/>
                <w:lang w:val="en-GB"/>
              </w:rPr>
            </w:pPr>
          </w:p>
        </w:tc>
      </w:tr>
      <w:tr w:rsidR="0066436B" w:rsidRPr="00BD6C45" w14:paraId="22129842"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3A0F70F0" w14:textId="552B25F8"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Amphenicols</w:t>
            </w:r>
          </w:p>
        </w:tc>
        <w:tc>
          <w:tcPr>
            <w:cnfStyle w:val="000010000000" w:firstRow="0" w:lastRow="0" w:firstColumn="0" w:lastColumn="0" w:oddVBand="1" w:evenVBand="0" w:oddHBand="0" w:evenHBand="0" w:firstRowFirstColumn="0" w:firstRowLastColumn="0" w:lastRowFirstColumn="0" w:lastRowLastColumn="0"/>
            <w:tcW w:w="1547" w:type="dxa"/>
          </w:tcPr>
          <w:p w14:paraId="7D6C6932" w14:textId="735C706F"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Low</w:t>
            </w:r>
          </w:p>
        </w:tc>
        <w:tc>
          <w:tcPr>
            <w:tcW w:w="2252" w:type="dxa"/>
            <w:tcBorders>
              <w:right w:val="single" w:sz="8" w:space="0" w:color="4BACC6" w:themeColor="accent5"/>
            </w:tcBorders>
          </w:tcPr>
          <w:p w14:paraId="430CA457" w14:textId="3C524E42"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Florfenicol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1B59163E"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Thiamphenicol</w:t>
            </w:r>
          </w:p>
          <w:p w14:paraId="57097D23" w14:textId="3F787B0B" w:rsidR="0066436B" w:rsidRPr="00BD6C45" w:rsidRDefault="0066436B" w:rsidP="0087188A">
            <w:pPr>
              <w:pStyle w:val="Default"/>
              <w:spacing w:line="276" w:lineRule="auto"/>
              <w:rPr>
                <w:rFonts w:ascii="Arial Narrow" w:hAnsi="Arial Narrow"/>
                <w:b w:val="0"/>
                <w:color w:val="auto"/>
                <w:sz w:val="21"/>
                <w:szCs w:val="21"/>
                <w:lang w:val="en-GB"/>
              </w:rPr>
            </w:pPr>
          </w:p>
        </w:tc>
      </w:tr>
      <w:tr w:rsidR="0066436B" w:rsidRPr="00BD6C45" w14:paraId="4D2F5E1E"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3E67EF13" w14:textId="34DED187"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Nitrofurans</w:t>
            </w:r>
          </w:p>
        </w:tc>
        <w:tc>
          <w:tcPr>
            <w:cnfStyle w:val="000010000000" w:firstRow="0" w:lastRow="0" w:firstColumn="0" w:lastColumn="0" w:oddVBand="1" w:evenVBand="0" w:oddHBand="0" w:evenHBand="0" w:firstRowFirstColumn="0" w:firstRowLastColumn="0" w:lastRowFirstColumn="0" w:lastRowLastColumn="0"/>
            <w:tcW w:w="1547" w:type="dxa"/>
          </w:tcPr>
          <w:p w14:paraId="344B703D" w14:textId="6318E7E1"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4D1DA0D0" w14:textId="4D8499A6"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Nitrofrurazone</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25C9415D"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Furaltadone</w:t>
            </w:r>
          </w:p>
          <w:p w14:paraId="34DD4090"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Nifurtoinol</w:t>
            </w:r>
          </w:p>
          <w:p w14:paraId="04AF1E70" w14:textId="27029B7F"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Nitrofural</w:t>
            </w:r>
          </w:p>
        </w:tc>
      </w:tr>
      <w:tr w:rsidR="0066436B" w:rsidRPr="00BD6C45" w14:paraId="247C2E73"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217B1183" w14:textId="77777777"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Fusidanes</w:t>
            </w:r>
          </w:p>
        </w:tc>
        <w:tc>
          <w:tcPr>
            <w:cnfStyle w:val="000010000000" w:firstRow="0" w:lastRow="0" w:firstColumn="0" w:lastColumn="0" w:oddVBand="1" w:evenVBand="0" w:oddHBand="0" w:evenHBand="0" w:firstRowFirstColumn="0" w:firstRowLastColumn="0" w:lastRowFirstColumn="0" w:lastRowLastColumn="0"/>
            <w:tcW w:w="1547" w:type="dxa"/>
          </w:tcPr>
          <w:p w14:paraId="095BA5BC" w14:textId="77777777"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1BF1DA4B"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5ED17374"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Nil</w:t>
            </w:r>
          </w:p>
          <w:p w14:paraId="28501D2E" w14:textId="1B84B2A9" w:rsidR="0066436B" w:rsidRPr="00BD6C45" w:rsidRDefault="0066436B" w:rsidP="0087188A">
            <w:pPr>
              <w:pStyle w:val="Default"/>
              <w:spacing w:line="276" w:lineRule="auto"/>
              <w:rPr>
                <w:rFonts w:ascii="Arial Narrow" w:hAnsi="Arial Narrow"/>
                <w:b w:val="0"/>
                <w:color w:val="auto"/>
                <w:sz w:val="21"/>
                <w:szCs w:val="21"/>
                <w:lang w:val="en-GB"/>
              </w:rPr>
            </w:pPr>
          </w:p>
        </w:tc>
      </w:tr>
      <w:tr w:rsidR="0066436B" w:rsidRPr="00BD6C45" w14:paraId="19FA30E3" w14:textId="77777777" w:rsidTr="0087188A">
        <w:tc>
          <w:tcPr>
            <w:cnfStyle w:val="001000000000" w:firstRow="0" w:lastRow="0" w:firstColumn="1" w:lastColumn="0" w:oddVBand="0" w:evenVBand="0" w:oddHBand="0" w:evenHBand="0" w:firstRowFirstColumn="0" w:firstRowLastColumn="0" w:lastRowFirstColumn="0" w:lastRowLastColumn="0"/>
            <w:tcW w:w="2732" w:type="dxa"/>
          </w:tcPr>
          <w:p w14:paraId="4B0EC938" w14:textId="77777777"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Fosfomycins</w:t>
            </w:r>
          </w:p>
        </w:tc>
        <w:tc>
          <w:tcPr>
            <w:cnfStyle w:val="000010000000" w:firstRow="0" w:lastRow="0" w:firstColumn="0" w:lastColumn="0" w:oddVBand="1" w:evenVBand="0" w:oddHBand="0" w:evenHBand="0" w:firstRowFirstColumn="0" w:firstRowLastColumn="0" w:lastRowFirstColumn="0" w:lastRowLastColumn="0"/>
            <w:tcW w:w="1547" w:type="dxa"/>
          </w:tcPr>
          <w:p w14:paraId="114A4236" w14:textId="77777777"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right w:val="single" w:sz="8" w:space="0" w:color="4BACC6" w:themeColor="accent5"/>
            </w:tcBorders>
          </w:tcPr>
          <w:p w14:paraId="68DAD56D" w14:textId="77777777"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2447163D"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Nil</w:t>
            </w:r>
          </w:p>
          <w:p w14:paraId="2E3A9F33" w14:textId="7FA9D397" w:rsidR="0066436B" w:rsidRPr="00BD6C45" w:rsidRDefault="0066436B" w:rsidP="0087188A">
            <w:pPr>
              <w:pStyle w:val="Default"/>
              <w:spacing w:line="276" w:lineRule="auto"/>
              <w:rPr>
                <w:rFonts w:ascii="Arial Narrow" w:hAnsi="Arial Narrow"/>
                <w:b w:val="0"/>
                <w:color w:val="auto"/>
                <w:sz w:val="21"/>
                <w:szCs w:val="21"/>
                <w:lang w:val="en-GB"/>
              </w:rPr>
            </w:pPr>
          </w:p>
        </w:tc>
      </w:tr>
      <w:tr w:rsidR="0066436B" w:rsidRPr="00BD6C45" w14:paraId="460E019C" w14:textId="77777777" w:rsidTr="008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Pr>
          <w:p w14:paraId="2E322146" w14:textId="77777777"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Pseudomonic acids</w:t>
            </w:r>
          </w:p>
        </w:tc>
        <w:tc>
          <w:tcPr>
            <w:cnfStyle w:val="000010000000" w:firstRow="0" w:lastRow="0" w:firstColumn="0" w:lastColumn="0" w:oddVBand="1" w:evenVBand="0" w:oddHBand="0" w:evenHBand="0" w:firstRowFirstColumn="0" w:firstRowLastColumn="0" w:lastRowFirstColumn="0" w:lastRowLastColumn="0"/>
            <w:tcW w:w="1547" w:type="dxa"/>
          </w:tcPr>
          <w:p w14:paraId="543345BB" w14:textId="77777777"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Medium</w:t>
            </w:r>
          </w:p>
        </w:tc>
        <w:tc>
          <w:tcPr>
            <w:tcW w:w="2252" w:type="dxa"/>
            <w:tcBorders>
              <w:right w:val="single" w:sz="8" w:space="0" w:color="4BACC6" w:themeColor="accent5"/>
            </w:tcBorders>
          </w:tcPr>
          <w:p w14:paraId="4E0705D4" w14:textId="77777777" w:rsidR="0066436B" w:rsidRPr="00BD6C45" w:rsidRDefault="0066436B" w:rsidP="0087188A">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tcBorders>
          </w:tcPr>
          <w:p w14:paraId="562CE79E"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Nil</w:t>
            </w:r>
          </w:p>
          <w:p w14:paraId="7E776942" w14:textId="4BDEAF5E" w:rsidR="0066436B" w:rsidRPr="00BD6C45" w:rsidRDefault="0066436B" w:rsidP="0087188A">
            <w:pPr>
              <w:pStyle w:val="Default"/>
              <w:spacing w:line="276" w:lineRule="auto"/>
              <w:rPr>
                <w:rFonts w:ascii="Arial Narrow" w:hAnsi="Arial Narrow"/>
                <w:b w:val="0"/>
                <w:color w:val="auto"/>
                <w:sz w:val="21"/>
                <w:szCs w:val="21"/>
                <w:lang w:val="en-GB"/>
              </w:rPr>
            </w:pPr>
          </w:p>
        </w:tc>
      </w:tr>
      <w:tr w:rsidR="0066436B" w:rsidRPr="00BD6C45" w14:paraId="6F4865B9" w14:textId="77777777" w:rsidTr="00CB1BD0">
        <w:tc>
          <w:tcPr>
            <w:cnfStyle w:val="001000000000" w:firstRow="0" w:lastRow="0" w:firstColumn="1" w:lastColumn="0" w:oddVBand="0" w:evenVBand="0" w:oddHBand="0" w:evenHBand="0" w:firstRowFirstColumn="0" w:firstRowLastColumn="0" w:lastRowFirstColumn="0" w:lastRowLastColumn="0"/>
            <w:tcW w:w="2732" w:type="dxa"/>
            <w:tcBorders>
              <w:bottom w:val="single" w:sz="8" w:space="0" w:color="4BACC6" w:themeColor="accent5"/>
            </w:tcBorders>
          </w:tcPr>
          <w:p w14:paraId="2260A899" w14:textId="77777777"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Lipopeptides</w:t>
            </w:r>
          </w:p>
        </w:tc>
        <w:tc>
          <w:tcPr>
            <w:cnfStyle w:val="000010000000" w:firstRow="0" w:lastRow="0" w:firstColumn="0" w:lastColumn="0" w:oddVBand="1" w:evenVBand="0" w:oddHBand="0" w:evenHBand="0" w:firstRowFirstColumn="0" w:firstRowLastColumn="0" w:lastRowFirstColumn="0" w:lastRowLastColumn="0"/>
            <w:tcW w:w="1547" w:type="dxa"/>
            <w:tcBorders>
              <w:bottom w:val="single" w:sz="8" w:space="0" w:color="4BACC6" w:themeColor="accent5"/>
            </w:tcBorders>
          </w:tcPr>
          <w:p w14:paraId="7130B0C6" w14:textId="77777777" w:rsidR="0066436B" w:rsidRPr="00BD6C45" w:rsidRDefault="0066436B" w:rsidP="0087188A">
            <w:pPr>
              <w:pStyle w:val="Default"/>
              <w:spacing w:line="276" w:lineRule="auto"/>
              <w:jc w:val="center"/>
              <w:rPr>
                <w:rFonts w:ascii="Arial Narrow" w:hAnsi="Arial Narrow"/>
                <w:color w:val="auto"/>
                <w:sz w:val="21"/>
                <w:szCs w:val="21"/>
                <w:lang w:val="en-GB"/>
              </w:rPr>
            </w:pPr>
            <w:r w:rsidRPr="00BD6C45">
              <w:rPr>
                <w:rFonts w:ascii="Arial Narrow" w:hAnsi="Arial Narrow"/>
                <w:color w:val="auto"/>
                <w:sz w:val="21"/>
                <w:szCs w:val="21"/>
                <w:lang w:val="en-GB"/>
              </w:rPr>
              <w:t>High</w:t>
            </w:r>
          </w:p>
        </w:tc>
        <w:tc>
          <w:tcPr>
            <w:tcW w:w="2252" w:type="dxa"/>
            <w:tcBorders>
              <w:bottom w:val="single" w:sz="8" w:space="0" w:color="4BACC6" w:themeColor="accent5"/>
              <w:right w:val="single" w:sz="8" w:space="0" w:color="4BACC6" w:themeColor="accent5"/>
            </w:tcBorders>
          </w:tcPr>
          <w:p w14:paraId="73FA88CC" w14:textId="77777777" w:rsidR="0066436B" w:rsidRPr="00BD6C45" w:rsidRDefault="0066436B" w:rsidP="0087188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1"/>
                <w:szCs w:val="21"/>
                <w:lang w:val="en-GB"/>
              </w:rPr>
            </w:pPr>
            <w:r w:rsidRPr="00BD6C45">
              <w:rPr>
                <w:rFonts w:ascii="Arial Narrow" w:hAnsi="Arial Narrow"/>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left w:val="single" w:sz="8" w:space="0" w:color="4BACC6" w:themeColor="accent5"/>
              <w:bottom w:val="single" w:sz="8" w:space="0" w:color="4BACC6" w:themeColor="accent5"/>
            </w:tcBorders>
          </w:tcPr>
          <w:p w14:paraId="13BE80DA" w14:textId="77777777" w:rsidR="0066436B" w:rsidRPr="00BD6C45" w:rsidRDefault="0066436B" w:rsidP="0087188A">
            <w:pPr>
              <w:pStyle w:val="Default"/>
              <w:spacing w:line="276" w:lineRule="auto"/>
              <w:rPr>
                <w:rFonts w:ascii="Arial Narrow" w:hAnsi="Arial Narrow"/>
                <w:b w:val="0"/>
                <w:color w:val="auto"/>
                <w:sz w:val="21"/>
                <w:szCs w:val="21"/>
                <w:lang w:val="en-GB"/>
              </w:rPr>
            </w:pPr>
            <w:r w:rsidRPr="00BD6C45">
              <w:rPr>
                <w:rFonts w:ascii="Arial Narrow" w:hAnsi="Arial Narrow"/>
                <w:b w:val="0"/>
                <w:color w:val="auto"/>
                <w:sz w:val="21"/>
                <w:szCs w:val="21"/>
                <w:lang w:val="en-GB"/>
              </w:rPr>
              <w:t>Nil</w:t>
            </w:r>
          </w:p>
          <w:p w14:paraId="6D5EF776" w14:textId="7D889531" w:rsidR="0066436B" w:rsidRPr="00BD6C45" w:rsidRDefault="0066436B" w:rsidP="0087188A">
            <w:pPr>
              <w:pStyle w:val="Default"/>
              <w:spacing w:line="276" w:lineRule="auto"/>
              <w:rPr>
                <w:rFonts w:ascii="Arial Narrow" w:hAnsi="Arial Narrow"/>
                <w:b w:val="0"/>
                <w:color w:val="auto"/>
                <w:sz w:val="21"/>
                <w:szCs w:val="21"/>
                <w:lang w:val="en-GB"/>
              </w:rPr>
            </w:pPr>
          </w:p>
        </w:tc>
      </w:tr>
      <w:tr w:rsidR="0066436B" w:rsidRPr="00BD6C45" w14:paraId="5E495EAA" w14:textId="77777777" w:rsidTr="00CB1BD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dxa"/>
            <w:tcBorders>
              <w:top w:val="single" w:sz="8" w:space="0" w:color="4BACC6" w:themeColor="accent5"/>
            </w:tcBorders>
          </w:tcPr>
          <w:p w14:paraId="47734DC9" w14:textId="77777777" w:rsidR="0066436B" w:rsidRPr="00BD6C45" w:rsidRDefault="0066436B" w:rsidP="0087188A">
            <w:pPr>
              <w:pStyle w:val="Default"/>
              <w:spacing w:line="276" w:lineRule="auto"/>
              <w:rPr>
                <w:rFonts w:ascii="Arial Narrow" w:hAnsi="Arial Narrow" w:cs="Arial Narrow"/>
                <w:b w:val="0"/>
                <w:bCs w:val="0"/>
                <w:sz w:val="21"/>
                <w:szCs w:val="21"/>
                <w:lang w:val="en-GB"/>
              </w:rPr>
            </w:pPr>
            <w:r w:rsidRPr="00BD6C45">
              <w:rPr>
                <w:rFonts w:ascii="Arial Narrow" w:hAnsi="Arial Narrow" w:cs="Arial Narrow"/>
                <w:sz w:val="21"/>
                <w:szCs w:val="21"/>
                <w:lang w:val="en-GB"/>
              </w:rPr>
              <w:t>Macrocyclic lactones</w:t>
            </w:r>
          </w:p>
        </w:tc>
        <w:tc>
          <w:tcPr>
            <w:cnfStyle w:val="000010000000" w:firstRow="0" w:lastRow="0" w:firstColumn="0" w:lastColumn="0" w:oddVBand="1" w:evenVBand="0" w:oddHBand="0" w:evenHBand="0" w:firstRowFirstColumn="0" w:firstRowLastColumn="0" w:lastRowFirstColumn="0" w:lastRowLastColumn="0"/>
            <w:tcW w:w="1547" w:type="dxa"/>
            <w:tcBorders>
              <w:top w:val="single" w:sz="8" w:space="0" w:color="4BACC6" w:themeColor="accent5"/>
            </w:tcBorders>
          </w:tcPr>
          <w:p w14:paraId="2D7C014C" w14:textId="77777777" w:rsidR="0066436B" w:rsidRPr="00BD6C45" w:rsidRDefault="0066436B" w:rsidP="0087188A">
            <w:pPr>
              <w:pStyle w:val="Default"/>
              <w:spacing w:line="276" w:lineRule="auto"/>
              <w:jc w:val="center"/>
              <w:rPr>
                <w:rFonts w:ascii="Arial Narrow" w:hAnsi="Arial Narrow"/>
                <w:b w:val="0"/>
                <w:color w:val="auto"/>
                <w:sz w:val="21"/>
                <w:szCs w:val="21"/>
                <w:lang w:val="en-GB"/>
              </w:rPr>
            </w:pPr>
            <w:r w:rsidRPr="00BD6C45">
              <w:rPr>
                <w:rFonts w:ascii="Arial Narrow" w:hAnsi="Arial Narrow"/>
                <w:b w:val="0"/>
                <w:color w:val="auto"/>
                <w:sz w:val="21"/>
                <w:szCs w:val="21"/>
                <w:lang w:val="en-GB"/>
              </w:rPr>
              <w:t>High</w:t>
            </w:r>
          </w:p>
        </w:tc>
        <w:tc>
          <w:tcPr>
            <w:tcW w:w="2252" w:type="dxa"/>
            <w:tcBorders>
              <w:top w:val="single" w:sz="8" w:space="0" w:color="4BACC6" w:themeColor="accent5"/>
              <w:right w:val="single" w:sz="8" w:space="0" w:color="4BACC6" w:themeColor="accent5"/>
            </w:tcBorders>
          </w:tcPr>
          <w:p w14:paraId="094A7BF5" w14:textId="77777777" w:rsidR="0066436B" w:rsidRPr="00BD6C45" w:rsidRDefault="0066436B" w:rsidP="0087188A">
            <w:pPr>
              <w:pStyle w:val="Default"/>
              <w:spacing w:line="276" w:lineRule="auto"/>
              <w:cnfStyle w:val="010000000000" w:firstRow="0" w:lastRow="1" w:firstColumn="0" w:lastColumn="0" w:oddVBand="0" w:evenVBand="0" w:oddHBand="0" w:evenHBand="0" w:firstRowFirstColumn="0" w:firstRowLastColumn="0" w:lastRowFirstColumn="0" w:lastRowLastColumn="0"/>
              <w:rPr>
                <w:rFonts w:ascii="Arial Narrow" w:hAnsi="Arial Narrow"/>
                <w:b w:val="0"/>
                <w:color w:val="auto"/>
                <w:sz w:val="21"/>
                <w:szCs w:val="21"/>
                <w:lang w:val="en-GB"/>
              </w:rPr>
            </w:pPr>
            <w:r w:rsidRPr="00BD6C45">
              <w:rPr>
                <w:rFonts w:ascii="Arial Narrow" w:hAnsi="Arial Narrow"/>
                <w:b w:val="0"/>
                <w:color w:val="auto"/>
                <w:sz w:val="21"/>
                <w:szCs w:val="21"/>
                <w:lang w:val="en-GB"/>
              </w:rPr>
              <w:t>Nil</w:t>
            </w:r>
          </w:p>
        </w:tc>
        <w:tc>
          <w:tcPr>
            <w:cnfStyle w:val="000100000000" w:firstRow="0" w:lastRow="0" w:firstColumn="0" w:lastColumn="1" w:oddVBand="0" w:evenVBand="0" w:oddHBand="0" w:evenHBand="0" w:firstRowFirstColumn="0" w:firstRowLastColumn="0" w:lastRowFirstColumn="0" w:lastRowLastColumn="0"/>
            <w:tcW w:w="3657" w:type="dxa"/>
            <w:tcBorders>
              <w:top w:val="single" w:sz="8" w:space="0" w:color="4BACC6" w:themeColor="accent5"/>
              <w:left w:val="single" w:sz="8" w:space="0" w:color="4BACC6" w:themeColor="accent5"/>
            </w:tcBorders>
          </w:tcPr>
          <w:p w14:paraId="0E61E69E" w14:textId="77777777" w:rsidR="0066436B" w:rsidRPr="00BD6C45" w:rsidRDefault="0066436B" w:rsidP="0087188A">
            <w:pPr>
              <w:pStyle w:val="Default"/>
              <w:spacing w:line="276" w:lineRule="auto"/>
              <w:rPr>
                <w:rFonts w:ascii="Arial Narrow" w:hAnsi="Arial Narrow"/>
                <w:b w:val="0"/>
                <w:color w:val="auto"/>
                <w:sz w:val="21"/>
                <w:szCs w:val="21"/>
                <w:lang w:val="en-GB"/>
              </w:rPr>
            </w:pPr>
          </w:p>
          <w:p w14:paraId="09821417" w14:textId="4C557301" w:rsidR="0066436B" w:rsidRPr="00BD6C45" w:rsidRDefault="0066436B" w:rsidP="0087188A">
            <w:pPr>
              <w:pStyle w:val="Default"/>
              <w:spacing w:line="276" w:lineRule="auto"/>
              <w:rPr>
                <w:rFonts w:ascii="Arial Narrow" w:hAnsi="Arial Narrow"/>
                <w:b w:val="0"/>
                <w:color w:val="auto"/>
                <w:sz w:val="21"/>
                <w:szCs w:val="21"/>
                <w:lang w:val="en-GB"/>
              </w:rPr>
            </w:pPr>
          </w:p>
        </w:tc>
      </w:tr>
    </w:tbl>
    <w:p w14:paraId="3FC19552" w14:textId="77777777" w:rsidR="00381D80" w:rsidRPr="00BD6C45" w:rsidRDefault="00381D80" w:rsidP="0087188A">
      <w:pPr>
        <w:pStyle w:val="Default"/>
        <w:spacing w:line="276" w:lineRule="auto"/>
        <w:rPr>
          <w:color w:val="auto"/>
          <w:sz w:val="21"/>
          <w:szCs w:val="21"/>
          <w:lang w:val="en-GB"/>
        </w:rPr>
      </w:pPr>
    </w:p>
    <w:sectPr w:rsidR="00381D80" w:rsidRPr="00BD6C45" w:rsidSect="000C3BF7">
      <w:footerReference w:type="default" r:id="rId14"/>
      <w:type w:val="continuous"/>
      <w:pgSz w:w="12240" w:h="15840"/>
      <w:pgMar w:top="1134" w:right="1134" w:bottom="1134" w:left="1134" w:header="720" w:footer="720" w:gutter="0"/>
      <w:pgBorders w:display="firstPage" w:offsetFrom="page">
        <w:top w:val="triple" w:sz="4" w:space="24" w:color="auto"/>
        <w:left w:val="triple" w:sz="4" w:space="24" w:color="auto"/>
        <w:bottom w:val="triple" w:sz="4" w:space="24" w:color="auto"/>
        <w:right w:val="triple" w:sz="4" w:space="24" w:color="auto"/>
      </w:pgBorders>
      <w:cols w:space="720"/>
      <w:noEndnote/>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2F87B" w14:textId="77777777" w:rsidR="005F1A99" w:rsidRDefault="005F1A99">
      <w:r>
        <w:separator/>
      </w:r>
    </w:p>
  </w:endnote>
  <w:endnote w:type="continuationSeparator" w:id="0">
    <w:p w14:paraId="74F2DAEE" w14:textId="77777777" w:rsidR="005F1A99" w:rsidRDefault="005F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C8014" w14:textId="09D072C6" w:rsidR="00ED78C3" w:rsidRPr="00525452" w:rsidRDefault="00ED78C3">
    <w:pPr>
      <w:pStyle w:val="Footer"/>
      <w:pBdr>
        <w:top w:val="thinThickSmallGap" w:sz="24" w:space="1" w:color="622423" w:themeColor="accent2" w:themeShade="7F"/>
      </w:pBdr>
      <w:rPr>
        <w:rFonts w:ascii="Arial Narrow" w:eastAsiaTheme="majorEastAsia" w:hAnsi="Arial Narrow" w:cstheme="majorBidi"/>
        <w:sz w:val="14"/>
        <w:szCs w:val="14"/>
      </w:rPr>
    </w:pPr>
    <w:r w:rsidRPr="006509B4">
      <w:rPr>
        <w:rFonts w:ascii="Arial Narrow" w:hAnsi="Arial Narrow"/>
        <w:sz w:val="14"/>
        <w:szCs w:val="14"/>
      </w:rPr>
      <w:t>Australian Strategic and Technical Advisory Group on AMR (ASTAG)</w:t>
    </w:r>
    <w:r>
      <w:rPr>
        <w:rFonts w:ascii="Arial Narrow" w:hAnsi="Arial Narrow"/>
        <w:sz w:val="14"/>
        <w:szCs w:val="14"/>
      </w:rPr>
      <w:tab/>
    </w:r>
    <w:r>
      <w:rPr>
        <w:rFonts w:ascii="Arial Narrow" w:hAnsi="Arial Narrow"/>
        <w:sz w:val="14"/>
        <w:szCs w:val="14"/>
      </w:rPr>
      <w:tab/>
      <w:t xml:space="preserve"> </w:t>
    </w:r>
    <w:r w:rsidRPr="006509B4">
      <w:rPr>
        <w:rFonts w:ascii="Arial Narrow" w:hAnsi="Arial Narrow"/>
        <w:sz w:val="14"/>
        <w:szCs w:val="14"/>
      </w:rPr>
      <w:t>Importance Ratings and Summary of Antibacterial Uses in Humans in Australia Version 1.</w:t>
    </w:r>
    <w:r w:rsidRPr="00525452">
      <w:rPr>
        <w:rFonts w:ascii="Arial Narrow" w:hAnsi="Arial Narrow"/>
        <w:sz w:val="14"/>
        <w:szCs w:val="14"/>
      </w:rPr>
      <w:t>1</w:t>
    </w:r>
    <w:r w:rsidRPr="00525452">
      <w:rPr>
        <w:rFonts w:ascii="Arial Narrow" w:eastAsiaTheme="majorEastAsia" w:hAnsi="Arial Narrow" w:cstheme="majorBidi"/>
        <w:sz w:val="14"/>
        <w:szCs w:val="14"/>
      </w:rPr>
      <w:ptab w:relativeTo="margin" w:alignment="right" w:leader="none"/>
    </w:r>
    <w:r w:rsidRPr="00525452">
      <w:rPr>
        <w:rFonts w:ascii="Arial Narrow" w:eastAsiaTheme="majorEastAsia" w:hAnsi="Arial Narrow" w:cstheme="majorBidi"/>
        <w:sz w:val="14"/>
        <w:szCs w:val="14"/>
      </w:rPr>
      <w:t xml:space="preserve">Page </w:t>
    </w:r>
    <w:r w:rsidRPr="00525452">
      <w:rPr>
        <w:rFonts w:ascii="Arial Narrow" w:eastAsiaTheme="minorEastAsia" w:hAnsi="Arial Narrow" w:cstheme="minorBidi"/>
        <w:sz w:val="14"/>
        <w:szCs w:val="14"/>
      </w:rPr>
      <w:fldChar w:fldCharType="begin"/>
    </w:r>
    <w:r w:rsidRPr="00525452">
      <w:rPr>
        <w:rFonts w:ascii="Arial Narrow" w:hAnsi="Arial Narrow"/>
        <w:sz w:val="14"/>
        <w:szCs w:val="14"/>
      </w:rPr>
      <w:instrText xml:space="preserve"> PAGE   \* MERGEFORMAT </w:instrText>
    </w:r>
    <w:r w:rsidRPr="00525452">
      <w:rPr>
        <w:rFonts w:ascii="Arial Narrow" w:eastAsiaTheme="minorEastAsia" w:hAnsi="Arial Narrow" w:cstheme="minorBidi"/>
        <w:sz w:val="14"/>
        <w:szCs w:val="14"/>
      </w:rPr>
      <w:fldChar w:fldCharType="separate"/>
    </w:r>
    <w:r w:rsidR="00FD1782" w:rsidRPr="00FD1782">
      <w:rPr>
        <w:rFonts w:ascii="Arial Narrow" w:eastAsiaTheme="majorEastAsia" w:hAnsi="Arial Narrow" w:cstheme="majorBidi"/>
        <w:noProof/>
        <w:sz w:val="14"/>
        <w:szCs w:val="14"/>
      </w:rPr>
      <w:t>4</w:t>
    </w:r>
    <w:r w:rsidRPr="00525452">
      <w:rPr>
        <w:rFonts w:ascii="Arial Narrow" w:eastAsiaTheme="majorEastAsia" w:hAnsi="Arial Narrow" w:cstheme="majorBidi"/>
        <w:noProof/>
        <w:sz w:val="14"/>
        <w:szCs w:val="14"/>
      </w:rPr>
      <w:fldChar w:fldCharType="end"/>
    </w:r>
  </w:p>
  <w:p w14:paraId="1E429183" w14:textId="77777777" w:rsidR="00ED78C3" w:rsidRDefault="00ED7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0BBC1" w14:textId="77777777" w:rsidR="005F1A99" w:rsidRDefault="005F1A99">
      <w:r>
        <w:separator/>
      </w:r>
    </w:p>
  </w:footnote>
  <w:footnote w:type="continuationSeparator" w:id="0">
    <w:p w14:paraId="1B217555" w14:textId="77777777" w:rsidR="005F1A99" w:rsidRDefault="005F1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9B"/>
    <w:rsid w:val="000106F4"/>
    <w:rsid w:val="00014591"/>
    <w:rsid w:val="00014FBB"/>
    <w:rsid w:val="0002211E"/>
    <w:rsid w:val="00024418"/>
    <w:rsid w:val="00032609"/>
    <w:rsid w:val="00043623"/>
    <w:rsid w:val="00045254"/>
    <w:rsid w:val="00060000"/>
    <w:rsid w:val="000614DB"/>
    <w:rsid w:val="0006222F"/>
    <w:rsid w:val="00063302"/>
    <w:rsid w:val="00075E6B"/>
    <w:rsid w:val="000842CE"/>
    <w:rsid w:val="000B11A4"/>
    <w:rsid w:val="000C2C30"/>
    <w:rsid w:val="000C3BF7"/>
    <w:rsid w:val="000D1C68"/>
    <w:rsid w:val="000D45B8"/>
    <w:rsid w:val="000D619F"/>
    <w:rsid w:val="000E3563"/>
    <w:rsid w:val="000F2EBF"/>
    <w:rsid w:val="000F4C3B"/>
    <w:rsid w:val="00122735"/>
    <w:rsid w:val="0012799C"/>
    <w:rsid w:val="00133B94"/>
    <w:rsid w:val="00145ECF"/>
    <w:rsid w:val="00153D1A"/>
    <w:rsid w:val="0015625F"/>
    <w:rsid w:val="001717A5"/>
    <w:rsid w:val="00173861"/>
    <w:rsid w:val="001A2A7A"/>
    <w:rsid w:val="001B2954"/>
    <w:rsid w:val="001D79FE"/>
    <w:rsid w:val="001E0C5A"/>
    <w:rsid w:val="001F2F97"/>
    <w:rsid w:val="001F6B2A"/>
    <w:rsid w:val="00217AD9"/>
    <w:rsid w:val="00245D19"/>
    <w:rsid w:val="00267E97"/>
    <w:rsid w:val="002854A6"/>
    <w:rsid w:val="00286528"/>
    <w:rsid w:val="00287287"/>
    <w:rsid w:val="002873E4"/>
    <w:rsid w:val="00290C0C"/>
    <w:rsid w:val="002C309C"/>
    <w:rsid w:val="002C6A6E"/>
    <w:rsid w:val="002C6C4D"/>
    <w:rsid w:val="002D066A"/>
    <w:rsid w:val="002E0F43"/>
    <w:rsid w:val="002F0E76"/>
    <w:rsid w:val="002F16E9"/>
    <w:rsid w:val="003018CF"/>
    <w:rsid w:val="00321223"/>
    <w:rsid w:val="00333E57"/>
    <w:rsid w:val="00333E99"/>
    <w:rsid w:val="00334CEB"/>
    <w:rsid w:val="00340305"/>
    <w:rsid w:val="003428DB"/>
    <w:rsid w:val="00342FBC"/>
    <w:rsid w:val="003435C2"/>
    <w:rsid w:val="003447AF"/>
    <w:rsid w:val="00381572"/>
    <w:rsid w:val="00381D80"/>
    <w:rsid w:val="00385328"/>
    <w:rsid w:val="00390825"/>
    <w:rsid w:val="00392195"/>
    <w:rsid w:val="003A2CA1"/>
    <w:rsid w:val="003C7FA4"/>
    <w:rsid w:val="003D34AD"/>
    <w:rsid w:val="003E5C97"/>
    <w:rsid w:val="0041055F"/>
    <w:rsid w:val="004257AB"/>
    <w:rsid w:val="00425D26"/>
    <w:rsid w:val="00440173"/>
    <w:rsid w:val="00455B36"/>
    <w:rsid w:val="0045624A"/>
    <w:rsid w:val="0046119C"/>
    <w:rsid w:val="0046362E"/>
    <w:rsid w:val="004714F4"/>
    <w:rsid w:val="00471B5E"/>
    <w:rsid w:val="004808F8"/>
    <w:rsid w:val="00481FB0"/>
    <w:rsid w:val="00482EA4"/>
    <w:rsid w:val="00487766"/>
    <w:rsid w:val="004A22B9"/>
    <w:rsid w:val="004A2617"/>
    <w:rsid w:val="004B3803"/>
    <w:rsid w:val="004D1BFD"/>
    <w:rsid w:val="004E5593"/>
    <w:rsid w:val="004F37E3"/>
    <w:rsid w:val="00502E0F"/>
    <w:rsid w:val="005117CE"/>
    <w:rsid w:val="00525452"/>
    <w:rsid w:val="005315AC"/>
    <w:rsid w:val="005419BC"/>
    <w:rsid w:val="005741CC"/>
    <w:rsid w:val="0058739B"/>
    <w:rsid w:val="005900C9"/>
    <w:rsid w:val="00590B25"/>
    <w:rsid w:val="005A714D"/>
    <w:rsid w:val="005C50E0"/>
    <w:rsid w:val="005E4694"/>
    <w:rsid w:val="005E6BD6"/>
    <w:rsid w:val="005F1A99"/>
    <w:rsid w:val="0060478F"/>
    <w:rsid w:val="00605F62"/>
    <w:rsid w:val="00615479"/>
    <w:rsid w:val="00623A95"/>
    <w:rsid w:val="00642DBE"/>
    <w:rsid w:val="00645804"/>
    <w:rsid w:val="006509B4"/>
    <w:rsid w:val="00655A00"/>
    <w:rsid w:val="00661666"/>
    <w:rsid w:val="0066436B"/>
    <w:rsid w:val="0066615B"/>
    <w:rsid w:val="00672493"/>
    <w:rsid w:val="00687565"/>
    <w:rsid w:val="00693D36"/>
    <w:rsid w:val="00696AD9"/>
    <w:rsid w:val="006975DD"/>
    <w:rsid w:val="006B00B4"/>
    <w:rsid w:val="006B13C8"/>
    <w:rsid w:val="006C540A"/>
    <w:rsid w:val="006D3FB1"/>
    <w:rsid w:val="006F7582"/>
    <w:rsid w:val="007060A1"/>
    <w:rsid w:val="00712222"/>
    <w:rsid w:val="0071434F"/>
    <w:rsid w:val="007151C3"/>
    <w:rsid w:val="00717700"/>
    <w:rsid w:val="00737119"/>
    <w:rsid w:val="007655E1"/>
    <w:rsid w:val="007715DA"/>
    <w:rsid w:val="00793947"/>
    <w:rsid w:val="0079496F"/>
    <w:rsid w:val="007A1AE5"/>
    <w:rsid w:val="007B4378"/>
    <w:rsid w:val="007C412D"/>
    <w:rsid w:val="007C48DC"/>
    <w:rsid w:val="007C6F2F"/>
    <w:rsid w:val="007D3BD4"/>
    <w:rsid w:val="007E50BA"/>
    <w:rsid w:val="007F0442"/>
    <w:rsid w:val="00807CF2"/>
    <w:rsid w:val="00813BC6"/>
    <w:rsid w:val="00822D90"/>
    <w:rsid w:val="00842566"/>
    <w:rsid w:val="00852B12"/>
    <w:rsid w:val="00870A8C"/>
    <w:rsid w:val="0087188A"/>
    <w:rsid w:val="00887CEB"/>
    <w:rsid w:val="00897DFD"/>
    <w:rsid w:val="008A50C4"/>
    <w:rsid w:val="008D400F"/>
    <w:rsid w:val="008D5BAA"/>
    <w:rsid w:val="008E105E"/>
    <w:rsid w:val="00901CAB"/>
    <w:rsid w:val="00915928"/>
    <w:rsid w:val="00922786"/>
    <w:rsid w:val="00933BC2"/>
    <w:rsid w:val="00941E9D"/>
    <w:rsid w:val="00952525"/>
    <w:rsid w:val="00955AA4"/>
    <w:rsid w:val="00961D96"/>
    <w:rsid w:val="0096558A"/>
    <w:rsid w:val="00977DF3"/>
    <w:rsid w:val="00981AAD"/>
    <w:rsid w:val="00990633"/>
    <w:rsid w:val="00991C90"/>
    <w:rsid w:val="00996F0A"/>
    <w:rsid w:val="009A526A"/>
    <w:rsid w:val="009B29FF"/>
    <w:rsid w:val="009C3F07"/>
    <w:rsid w:val="009F1012"/>
    <w:rsid w:val="00A312F8"/>
    <w:rsid w:val="00A339AB"/>
    <w:rsid w:val="00A50811"/>
    <w:rsid w:val="00A53B06"/>
    <w:rsid w:val="00A84CA8"/>
    <w:rsid w:val="00A84E9C"/>
    <w:rsid w:val="00A853A1"/>
    <w:rsid w:val="00A91F84"/>
    <w:rsid w:val="00AA3949"/>
    <w:rsid w:val="00AA3E4B"/>
    <w:rsid w:val="00AB0203"/>
    <w:rsid w:val="00AE2685"/>
    <w:rsid w:val="00B019FA"/>
    <w:rsid w:val="00B07B4A"/>
    <w:rsid w:val="00B22493"/>
    <w:rsid w:val="00B36608"/>
    <w:rsid w:val="00B56D6D"/>
    <w:rsid w:val="00B71F82"/>
    <w:rsid w:val="00B77E01"/>
    <w:rsid w:val="00B805CA"/>
    <w:rsid w:val="00B85306"/>
    <w:rsid w:val="00B9540A"/>
    <w:rsid w:val="00B97130"/>
    <w:rsid w:val="00BA756C"/>
    <w:rsid w:val="00BB7FE5"/>
    <w:rsid w:val="00BC5CFE"/>
    <w:rsid w:val="00BD4E40"/>
    <w:rsid w:val="00BD6C45"/>
    <w:rsid w:val="00BE1BD1"/>
    <w:rsid w:val="00BE2FC4"/>
    <w:rsid w:val="00C01389"/>
    <w:rsid w:val="00C04B9C"/>
    <w:rsid w:val="00C17B8F"/>
    <w:rsid w:val="00C21021"/>
    <w:rsid w:val="00C3040F"/>
    <w:rsid w:val="00C418BF"/>
    <w:rsid w:val="00C52531"/>
    <w:rsid w:val="00C53917"/>
    <w:rsid w:val="00C57880"/>
    <w:rsid w:val="00C57AAD"/>
    <w:rsid w:val="00C60C07"/>
    <w:rsid w:val="00C61DF4"/>
    <w:rsid w:val="00C6551B"/>
    <w:rsid w:val="00C656E4"/>
    <w:rsid w:val="00C7123A"/>
    <w:rsid w:val="00C726E4"/>
    <w:rsid w:val="00C75726"/>
    <w:rsid w:val="00C80D2D"/>
    <w:rsid w:val="00C8270E"/>
    <w:rsid w:val="00C82ED4"/>
    <w:rsid w:val="00C85DEB"/>
    <w:rsid w:val="00C91B9A"/>
    <w:rsid w:val="00C939D7"/>
    <w:rsid w:val="00C96DA8"/>
    <w:rsid w:val="00CA0935"/>
    <w:rsid w:val="00CA37E1"/>
    <w:rsid w:val="00CB1BD0"/>
    <w:rsid w:val="00CB3D46"/>
    <w:rsid w:val="00D0523D"/>
    <w:rsid w:val="00D102DB"/>
    <w:rsid w:val="00D1596E"/>
    <w:rsid w:val="00D22EBD"/>
    <w:rsid w:val="00D25885"/>
    <w:rsid w:val="00D2711B"/>
    <w:rsid w:val="00D47159"/>
    <w:rsid w:val="00D63DD1"/>
    <w:rsid w:val="00D64F0C"/>
    <w:rsid w:val="00D82382"/>
    <w:rsid w:val="00D84CC1"/>
    <w:rsid w:val="00D90901"/>
    <w:rsid w:val="00D97260"/>
    <w:rsid w:val="00DA6BBB"/>
    <w:rsid w:val="00DB6B54"/>
    <w:rsid w:val="00DE4440"/>
    <w:rsid w:val="00DF2F26"/>
    <w:rsid w:val="00DF5E06"/>
    <w:rsid w:val="00E10886"/>
    <w:rsid w:val="00E17C09"/>
    <w:rsid w:val="00E22BE1"/>
    <w:rsid w:val="00E47DCA"/>
    <w:rsid w:val="00E50EB8"/>
    <w:rsid w:val="00E543D2"/>
    <w:rsid w:val="00E560F5"/>
    <w:rsid w:val="00E6634F"/>
    <w:rsid w:val="00E72FF7"/>
    <w:rsid w:val="00E76D58"/>
    <w:rsid w:val="00E814C2"/>
    <w:rsid w:val="00E81B17"/>
    <w:rsid w:val="00E822C6"/>
    <w:rsid w:val="00E830C9"/>
    <w:rsid w:val="00E87FCF"/>
    <w:rsid w:val="00E93E44"/>
    <w:rsid w:val="00EA148A"/>
    <w:rsid w:val="00EA638C"/>
    <w:rsid w:val="00EA78C2"/>
    <w:rsid w:val="00EC6E33"/>
    <w:rsid w:val="00ED0FFB"/>
    <w:rsid w:val="00ED78C3"/>
    <w:rsid w:val="00EE0170"/>
    <w:rsid w:val="00EF1B87"/>
    <w:rsid w:val="00F07127"/>
    <w:rsid w:val="00F213BE"/>
    <w:rsid w:val="00F23177"/>
    <w:rsid w:val="00F24425"/>
    <w:rsid w:val="00F265B4"/>
    <w:rsid w:val="00F4457D"/>
    <w:rsid w:val="00F64C0D"/>
    <w:rsid w:val="00F82C5C"/>
    <w:rsid w:val="00FD1782"/>
    <w:rsid w:val="00FF3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524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46119C"/>
    <w:pPr>
      <w:widowControl w:val="0"/>
      <w:autoSpaceDE w:val="0"/>
      <w:autoSpaceDN w:val="0"/>
      <w:adjustRightInd w:val="0"/>
    </w:pPr>
    <w:rPr>
      <w:sz w:val="24"/>
      <w:szCs w:val="24"/>
      <w:lang w:val="en-AU" w:eastAsia="ja-JP"/>
    </w:rPr>
  </w:style>
  <w:style w:type="paragraph" w:styleId="Heading1">
    <w:name w:val="heading 1"/>
    <w:basedOn w:val="Normal"/>
    <w:next w:val="Normal"/>
    <w:link w:val="Heading1Char"/>
    <w:qFormat/>
    <w:locked/>
    <w:rsid w:val="004A22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6119C"/>
    <w:pPr>
      <w:widowControl w:val="0"/>
      <w:autoSpaceDE w:val="0"/>
      <w:autoSpaceDN w:val="0"/>
      <w:adjustRightInd w:val="0"/>
    </w:pPr>
    <w:rPr>
      <w:color w:val="000000"/>
      <w:sz w:val="24"/>
      <w:szCs w:val="24"/>
      <w:lang w:val="en-AU" w:eastAsia="ja-JP"/>
    </w:rPr>
  </w:style>
  <w:style w:type="paragraph" w:customStyle="1" w:styleId="CM1">
    <w:name w:val="CM1"/>
    <w:basedOn w:val="Default"/>
    <w:next w:val="Default"/>
    <w:uiPriority w:val="99"/>
    <w:rsid w:val="0046119C"/>
    <w:rPr>
      <w:color w:val="auto"/>
    </w:rPr>
  </w:style>
  <w:style w:type="paragraph" w:customStyle="1" w:styleId="Default1">
    <w:name w:val="Default1"/>
    <w:basedOn w:val="Default"/>
    <w:next w:val="Default"/>
    <w:uiPriority w:val="99"/>
    <w:rsid w:val="0046119C"/>
    <w:rPr>
      <w:color w:val="auto"/>
    </w:rPr>
  </w:style>
  <w:style w:type="paragraph" w:customStyle="1" w:styleId="CM2">
    <w:name w:val="CM2"/>
    <w:basedOn w:val="Default"/>
    <w:next w:val="Default"/>
    <w:uiPriority w:val="99"/>
    <w:rsid w:val="0046119C"/>
    <w:rPr>
      <w:color w:val="auto"/>
    </w:rPr>
  </w:style>
  <w:style w:type="paragraph" w:customStyle="1" w:styleId="CM8">
    <w:name w:val="CM8"/>
    <w:basedOn w:val="Default"/>
    <w:next w:val="Default"/>
    <w:uiPriority w:val="99"/>
    <w:rsid w:val="0046119C"/>
    <w:pPr>
      <w:spacing w:after="270"/>
    </w:pPr>
    <w:rPr>
      <w:color w:val="auto"/>
    </w:rPr>
  </w:style>
  <w:style w:type="character" w:styleId="FootnoteReference">
    <w:name w:val="footnote reference"/>
    <w:uiPriority w:val="99"/>
    <w:rsid w:val="0046119C"/>
    <w:rPr>
      <w:rFonts w:cs="Times New Roman"/>
      <w:color w:val="000000"/>
    </w:rPr>
  </w:style>
  <w:style w:type="paragraph" w:styleId="FootnoteText">
    <w:name w:val="footnote text"/>
    <w:basedOn w:val="Default"/>
    <w:next w:val="Default"/>
    <w:link w:val="FootnoteTextChar"/>
    <w:uiPriority w:val="99"/>
    <w:rsid w:val="0046119C"/>
    <w:rPr>
      <w:color w:val="auto"/>
    </w:rPr>
  </w:style>
  <w:style w:type="character" w:customStyle="1" w:styleId="FootnoteTextChar">
    <w:name w:val="Footnote Text Char"/>
    <w:link w:val="FootnoteText"/>
    <w:uiPriority w:val="99"/>
    <w:semiHidden/>
    <w:locked/>
    <w:rsid w:val="00F23177"/>
    <w:rPr>
      <w:rFonts w:cs="Times New Roman"/>
      <w:sz w:val="20"/>
      <w:szCs w:val="20"/>
      <w:lang w:eastAsia="ja-JP"/>
    </w:rPr>
  </w:style>
  <w:style w:type="paragraph" w:customStyle="1" w:styleId="CM5">
    <w:name w:val="CM5"/>
    <w:basedOn w:val="Default"/>
    <w:next w:val="Default"/>
    <w:uiPriority w:val="99"/>
    <w:rsid w:val="0046119C"/>
    <w:rPr>
      <w:color w:val="auto"/>
    </w:rPr>
  </w:style>
  <w:style w:type="paragraph" w:customStyle="1" w:styleId="CM6">
    <w:name w:val="CM6"/>
    <w:basedOn w:val="Default"/>
    <w:next w:val="Default"/>
    <w:uiPriority w:val="99"/>
    <w:rsid w:val="0046119C"/>
    <w:rPr>
      <w:color w:val="auto"/>
    </w:rPr>
  </w:style>
  <w:style w:type="paragraph" w:styleId="Header">
    <w:name w:val="header"/>
    <w:basedOn w:val="Normal"/>
    <w:link w:val="HeaderChar"/>
    <w:uiPriority w:val="99"/>
    <w:rsid w:val="002C309C"/>
    <w:pPr>
      <w:tabs>
        <w:tab w:val="center" w:pos="4153"/>
        <w:tab w:val="right" w:pos="8306"/>
      </w:tabs>
    </w:pPr>
  </w:style>
  <w:style w:type="character" w:customStyle="1" w:styleId="HeaderChar">
    <w:name w:val="Header Char"/>
    <w:link w:val="Header"/>
    <w:uiPriority w:val="99"/>
    <w:semiHidden/>
    <w:locked/>
    <w:rsid w:val="003E5C97"/>
    <w:rPr>
      <w:rFonts w:cs="Times New Roman"/>
      <w:sz w:val="24"/>
      <w:szCs w:val="24"/>
      <w:lang w:eastAsia="ja-JP"/>
    </w:rPr>
  </w:style>
  <w:style w:type="paragraph" w:styleId="Footer">
    <w:name w:val="footer"/>
    <w:basedOn w:val="Normal"/>
    <w:link w:val="FooterChar"/>
    <w:uiPriority w:val="99"/>
    <w:rsid w:val="002C309C"/>
    <w:pPr>
      <w:tabs>
        <w:tab w:val="center" w:pos="4153"/>
        <w:tab w:val="right" w:pos="8306"/>
      </w:tabs>
    </w:pPr>
  </w:style>
  <w:style w:type="character" w:customStyle="1" w:styleId="FooterChar">
    <w:name w:val="Footer Char"/>
    <w:link w:val="Footer"/>
    <w:uiPriority w:val="99"/>
    <w:locked/>
    <w:rsid w:val="003E5C97"/>
    <w:rPr>
      <w:rFonts w:cs="Times New Roman"/>
      <w:sz w:val="24"/>
      <w:szCs w:val="24"/>
      <w:lang w:eastAsia="ja-JP"/>
    </w:rPr>
  </w:style>
  <w:style w:type="table" w:styleId="TableSimple1">
    <w:name w:val="Table Simple 1"/>
    <w:basedOn w:val="TableNormal"/>
    <w:uiPriority w:val="99"/>
    <w:rsid w:val="00915928"/>
    <w:pPr>
      <w:widowControl w:val="0"/>
      <w:autoSpaceDE w:val="0"/>
      <w:autoSpaceDN w:val="0"/>
      <w:adjustRightInd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286528"/>
    <w:rPr>
      <w:rFonts w:ascii="Tahoma" w:hAnsi="Tahoma" w:cs="Tahoma"/>
      <w:sz w:val="16"/>
      <w:szCs w:val="16"/>
    </w:rPr>
  </w:style>
  <w:style w:type="character" w:customStyle="1" w:styleId="BalloonTextChar">
    <w:name w:val="Balloon Text Char"/>
    <w:basedOn w:val="DefaultParagraphFont"/>
    <w:link w:val="BalloonText"/>
    <w:uiPriority w:val="99"/>
    <w:semiHidden/>
    <w:rsid w:val="00286528"/>
    <w:rPr>
      <w:rFonts w:ascii="Tahoma" w:hAnsi="Tahoma" w:cs="Tahoma"/>
      <w:sz w:val="16"/>
      <w:szCs w:val="16"/>
      <w:lang w:val="en-AU" w:eastAsia="ja-JP"/>
    </w:rPr>
  </w:style>
  <w:style w:type="character" w:styleId="CommentReference">
    <w:name w:val="annotation reference"/>
    <w:basedOn w:val="DefaultParagraphFont"/>
    <w:uiPriority w:val="99"/>
    <w:semiHidden/>
    <w:unhideWhenUsed/>
    <w:rsid w:val="00AA3E4B"/>
    <w:rPr>
      <w:sz w:val="16"/>
      <w:szCs w:val="16"/>
    </w:rPr>
  </w:style>
  <w:style w:type="paragraph" w:styleId="CommentText">
    <w:name w:val="annotation text"/>
    <w:basedOn w:val="Normal"/>
    <w:link w:val="CommentTextChar"/>
    <w:uiPriority w:val="99"/>
    <w:semiHidden/>
    <w:unhideWhenUsed/>
    <w:rsid w:val="00AA3E4B"/>
    <w:rPr>
      <w:sz w:val="20"/>
      <w:szCs w:val="20"/>
    </w:rPr>
  </w:style>
  <w:style w:type="character" w:customStyle="1" w:styleId="CommentTextChar">
    <w:name w:val="Comment Text Char"/>
    <w:basedOn w:val="DefaultParagraphFont"/>
    <w:link w:val="CommentText"/>
    <w:uiPriority w:val="99"/>
    <w:semiHidden/>
    <w:rsid w:val="00AA3E4B"/>
    <w:rPr>
      <w:lang w:val="en-AU" w:eastAsia="ja-JP"/>
    </w:rPr>
  </w:style>
  <w:style w:type="paragraph" w:styleId="CommentSubject">
    <w:name w:val="annotation subject"/>
    <w:basedOn w:val="CommentText"/>
    <w:next w:val="CommentText"/>
    <w:link w:val="CommentSubjectChar"/>
    <w:uiPriority w:val="99"/>
    <w:semiHidden/>
    <w:unhideWhenUsed/>
    <w:rsid w:val="00AA3E4B"/>
    <w:rPr>
      <w:b/>
      <w:bCs/>
    </w:rPr>
  </w:style>
  <w:style w:type="character" w:customStyle="1" w:styleId="CommentSubjectChar">
    <w:name w:val="Comment Subject Char"/>
    <w:basedOn w:val="CommentTextChar"/>
    <w:link w:val="CommentSubject"/>
    <w:uiPriority w:val="99"/>
    <w:semiHidden/>
    <w:rsid w:val="00AA3E4B"/>
    <w:rPr>
      <w:b/>
      <w:bCs/>
      <w:lang w:val="en-AU" w:eastAsia="ja-JP"/>
    </w:rPr>
  </w:style>
  <w:style w:type="paragraph" w:customStyle="1" w:styleId="1h1">
    <w:name w:val="_1_h1"/>
    <w:basedOn w:val="Normal"/>
    <w:rsid w:val="00C53917"/>
    <w:pPr>
      <w:widowControl/>
      <w:autoSpaceDE/>
      <w:autoSpaceDN/>
      <w:adjustRightInd/>
      <w:spacing w:beforeLines="50" w:afterLines="50"/>
    </w:pPr>
    <w:rPr>
      <w:rFonts w:ascii="Arial" w:eastAsiaTheme="minorEastAsia" w:hAnsi="Arial" w:cstheme="minorBidi"/>
      <w:color w:val="005A7B"/>
      <w:sz w:val="44"/>
      <w:szCs w:val="20"/>
      <w:lang w:eastAsia="en-US"/>
    </w:rPr>
  </w:style>
  <w:style w:type="paragraph" w:customStyle="1" w:styleId="2intro">
    <w:name w:val="_2_intro"/>
    <w:basedOn w:val="Normal"/>
    <w:rsid w:val="00C53917"/>
    <w:pPr>
      <w:widowControl/>
      <w:autoSpaceDE/>
      <w:autoSpaceDN/>
      <w:adjustRightInd/>
      <w:spacing w:beforeLines="50" w:afterLines="100"/>
    </w:pPr>
    <w:rPr>
      <w:rFonts w:ascii="Arial" w:eastAsiaTheme="minorEastAsia" w:hAnsi="Arial" w:cstheme="minorBidi"/>
      <w:color w:val="005A7B"/>
      <w:sz w:val="21"/>
      <w:szCs w:val="20"/>
      <w:lang w:eastAsia="en-US"/>
    </w:rPr>
  </w:style>
  <w:style w:type="paragraph" w:customStyle="1" w:styleId="2body">
    <w:name w:val="_2_body"/>
    <w:basedOn w:val="Normal"/>
    <w:rsid w:val="00C53917"/>
    <w:pPr>
      <w:widowControl/>
      <w:autoSpaceDE/>
      <w:autoSpaceDN/>
      <w:adjustRightInd/>
      <w:spacing w:beforeLines="50" w:afterLines="100"/>
    </w:pPr>
    <w:rPr>
      <w:rFonts w:ascii="Arial" w:eastAsiaTheme="minorEastAsia" w:hAnsi="Arial" w:cstheme="minorBidi"/>
      <w:color w:val="000000" w:themeColor="text1"/>
      <w:sz w:val="20"/>
      <w:szCs w:val="20"/>
      <w:lang w:eastAsia="en-US"/>
    </w:rPr>
  </w:style>
  <w:style w:type="character" w:customStyle="1" w:styleId="2body-bold">
    <w:name w:val="_2_body-bold"/>
    <w:basedOn w:val="DefaultParagraphFont"/>
    <w:rsid w:val="00C53917"/>
    <w:rPr>
      <w:rFonts w:ascii="Arial" w:hAnsi="Arial"/>
      <w:b/>
    </w:rPr>
  </w:style>
  <w:style w:type="table" w:styleId="TableGrid">
    <w:name w:val="Table Grid"/>
    <w:basedOn w:val="TableNormal"/>
    <w:locked/>
    <w:rsid w:val="006B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90B25"/>
    <w:rPr>
      <w:b/>
      <w:bCs/>
    </w:rPr>
  </w:style>
  <w:style w:type="character" w:customStyle="1" w:styleId="Heading1Char">
    <w:name w:val="Heading 1 Char"/>
    <w:basedOn w:val="DefaultParagraphFont"/>
    <w:link w:val="Heading1"/>
    <w:rsid w:val="004A22B9"/>
    <w:rPr>
      <w:rFonts w:asciiTheme="majorHAnsi" w:eastAsiaTheme="majorEastAsia" w:hAnsiTheme="majorHAnsi" w:cstheme="majorBidi"/>
      <w:b/>
      <w:bCs/>
      <w:color w:val="365F91" w:themeColor="accent1" w:themeShade="BF"/>
      <w:sz w:val="28"/>
      <w:szCs w:val="28"/>
      <w:lang w:val="en-AU" w:eastAsia="ja-JP"/>
    </w:rPr>
  </w:style>
  <w:style w:type="paragraph" w:styleId="TOCHeading">
    <w:name w:val="TOC Heading"/>
    <w:basedOn w:val="Heading1"/>
    <w:next w:val="Normal"/>
    <w:uiPriority w:val="39"/>
    <w:semiHidden/>
    <w:unhideWhenUsed/>
    <w:qFormat/>
    <w:rsid w:val="004A22B9"/>
    <w:pPr>
      <w:widowControl/>
      <w:autoSpaceDE/>
      <w:autoSpaceDN/>
      <w:adjustRightInd/>
      <w:spacing w:line="276" w:lineRule="auto"/>
      <w:outlineLvl w:val="9"/>
    </w:pPr>
    <w:rPr>
      <w:lang w:val="en-US"/>
    </w:rPr>
  </w:style>
  <w:style w:type="paragraph" w:styleId="TOC1">
    <w:name w:val="toc 1"/>
    <w:basedOn w:val="Normal"/>
    <w:next w:val="Normal"/>
    <w:autoRedefine/>
    <w:uiPriority w:val="39"/>
    <w:locked/>
    <w:rsid w:val="004A22B9"/>
    <w:pPr>
      <w:spacing w:after="100"/>
    </w:pPr>
  </w:style>
  <w:style w:type="character" w:styleId="Hyperlink">
    <w:name w:val="Hyperlink"/>
    <w:basedOn w:val="DefaultParagraphFont"/>
    <w:uiPriority w:val="99"/>
    <w:unhideWhenUsed/>
    <w:rsid w:val="004A22B9"/>
    <w:rPr>
      <w:color w:val="0000FF" w:themeColor="hyperlink"/>
      <w:u w:val="single"/>
    </w:rPr>
  </w:style>
  <w:style w:type="table" w:styleId="LightList-Accent5">
    <w:name w:val="Light List Accent 5"/>
    <w:basedOn w:val="TableNormal"/>
    <w:uiPriority w:val="61"/>
    <w:rsid w:val="007C6F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46119C"/>
    <w:pPr>
      <w:widowControl w:val="0"/>
      <w:autoSpaceDE w:val="0"/>
      <w:autoSpaceDN w:val="0"/>
      <w:adjustRightInd w:val="0"/>
    </w:pPr>
    <w:rPr>
      <w:sz w:val="24"/>
      <w:szCs w:val="24"/>
      <w:lang w:val="en-AU" w:eastAsia="ja-JP"/>
    </w:rPr>
  </w:style>
  <w:style w:type="paragraph" w:styleId="Heading1">
    <w:name w:val="heading 1"/>
    <w:basedOn w:val="Normal"/>
    <w:next w:val="Normal"/>
    <w:link w:val="Heading1Char"/>
    <w:qFormat/>
    <w:locked/>
    <w:rsid w:val="004A22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6119C"/>
    <w:pPr>
      <w:widowControl w:val="0"/>
      <w:autoSpaceDE w:val="0"/>
      <w:autoSpaceDN w:val="0"/>
      <w:adjustRightInd w:val="0"/>
    </w:pPr>
    <w:rPr>
      <w:color w:val="000000"/>
      <w:sz w:val="24"/>
      <w:szCs w:val="24"/>
      <w:lang w:val="en-AU" w:eastAsia="ja-JP"/>
    </w:rPr>
  </w:style>
  <w:style w:type="paragraph" w:customStyle="1" w:styleId="CM1">
    <w:name w:val="CM1"/>
    <w:basedOn w:val="Default"/>
    <w:next w:val="Default"/>
    <w:uiPriority w:val="99"/>
    <w:rsid w:val="0046119C"/>
    <w:rPr>
      <w:color w:val="auto"/>
    </w:rPr>
  </w:style>
  <w:style w:type="paragraph" w:customStyle="1" w:styleId="Default1">
    <w:name w:val="Default1"/>
    <w:basedOn w:val="Default"/>
    <w:next w:val="Default"/>
    <w:uiPriority w:val="99"/>
    <w:rsid w:val="0046119C"/>
    <w:rPr>
      <w:color w:val="auto"/>
    </w:rPr>
  </w:style>
  <w:style w:type="paragraph" w:customStyle="1" w:styleId="CM2">
    <w:name w:val="CM2"/>
    <w:basedOn w:val="Default"/>
    <w:next w:val="Default"/>
    <w:uiPriority w:val="99"/>
    <w:rsid w:val="0046119C"/>
    <w:rPr>
      <w:color w:val="auto"/>
    </w:rPr>
  </w:style>
  <w:style w:type="paragraph" w:customStyle="1" w:styleId="CM8">
    <w:name w:val="CM8"/>
    <w:basedOn w:val="Default"/>
    <w:next w:val="Default"/>
    <w:uiPriority w:val="99"/>
    <w:rsid w:val="0046119C"/>
    <w:pPr>
      <w:spacing w:after="270"/>
    </w:pPr>
    <w:rPr>
      <w:color w:val="auto"/>
    </w:rPr>
  </w:style>
  <w:style w:type="character" w:styleId="FootnoteReference">
    <w:name w:val="footnote reference"/>
    <w:uiPriority w:val="99"/>
    <w:rsid w:val="0046119C"/>
    <w:rPr>
      <w:rFonts w:cs="Times New Roman"/>
      <w:color w:val="000000"/>
    </w:rPr>
  </w:style>
  <w:style w:type="paragraph" w:styleId="FootnoteText">
    <w:name w:val="footnote text"/>
    <w:basedOn w:val="Default"/>
    <w:next w:val="Default"/>
    <w:link w:val="FootnoteTextChar"/>
    <w:uiPriority w:val="99"/>
    <w:rsid w:val="0046119C"/>
    <w:rPr>
      <w:color w:val="auto"/>
    </w:rPr>
  </w:style>
  <w:style w:type="character" w:customStyle="1" w:styleId="FootnoteTextChar">
    <w:name w:val="Footnote Text Char"/>
    <w:link w:val="FootnoteText"/>
    <w:uiPriority w:val="99"/>
    <w:semiHidden/>
    <w:locked/>
    <w:rsid w:val="00F23177"/>
    <w:rPr>
      <w:rFonts w:cs="Times New Roman"/>
      <w:sz w:val="20"/>
      <w:szCs w:val="20"/>
      <w:lang w:eastAsia="ja-JP"/>
    </w:rPr>
  </w:style>
  <w:style w:type="paragraph" w:customStyle="1" w:styleId="CM5">
    <w:name w:val="CM5"/>
    <w:basedOn w:val="Default"/>
    <w:next w:val="Default"/>
    <w:uiPriority w:val="99"/>
    <w:rsid w:val="0046119C"/>
    <w:rPr>
      <w:color w:val="auto"/>
    </w:rPr>
  </w:style>
  <w:style w:type="paragraph" w:customStyle="1" w:styleId="CM6">
    <w:name w:val="CM6"/>
    <w:basedOn w:val="Default"/>
    <w:next w:val="Default"/>
    <w:uiPriority w:val="99"/>
    <w:rsid w:val="0046119C"/>
    <w:rPr>
      <w:color w:val="auto"/>
    </w:rPr>
  </w:style>
  <w:style w:type="paragraph" w:styleId="Header">
    <w:name w:val="header"/>
    <w:basedOn w:val="Normal"/>
    <w:link w:val="HeaderChar"/>
    <w:uiPriority w:val="99"/>
    <w:rsid w:val="002C309C"/>
    <w:pPr>
      <w:tabs>
        <w:tab w:val="center" w:pos="4153"/>
        <w:tab w:val="right" w:pos="8306"/>
      </w:tabs>
    </w:pPr>
  </w:style>
  <w:style w:type="character" w:customStyle="1" w:styleId="HeaderChar">
    <w:name w:val="Header Char"/>
    <w:link w:val="Header"/>
    <w:uiPriority w:val="99"/>
    <w:semiHidden/>
    <w:locked/>
    <w:rsid w:val="003E5C97"/>
    <w:rPr>
      <w:rFonts w:cs="Times New Roman"/>
      <w:sz w:val="24"/>
      <w:szCs w:val="24"/>
      <w:lang w:eastAsia="ja-JP"/>
    </w:rPr>
  </w:style>
  <w:style w:type="paragraph" w:styleId="Footer">
    <w:name w:val="footer"/>
    <w:basedOn w:val="Normal"/>
    <w:link w:val="FooterChar"/>
    <w:uiPriority w:val="99"/>
    <w:rsid w:val="002C309C"/>
    <w:pPr>
      <w:tabs>
        <w:tab w:val="center" w:pos="4153"/>
        <w:tab w:val="right" w:pos="8306"/>
      </w:tabs>
    </w:pPr>
  </w:style>
  <w:style w:type="character" w:customStyle="1" w:styleId="FooterChar">
    <w:name w:val="Footer Char"/>
    <w:link w:val="Footer"/>
    <w:uiPriority w:val="99"/>
    <w:locked/>
    <w:rsid w:val="003E5C97"/>
    <w:rPr>
      <w:rFonts w:cs="Times New Roman"/>
      <w:sz w:val="24"/>
      <w:szCs w:val="24"/>
      <w:lang w:eastAsia="ja-JP"/>
    </w:rPr>
  </w:style>
  <w:style w:type="table" w:styleId="TableSimple1">
    <w:name w:val="Table Simple 1"/>
    <w:basedOn w:val="TableNormal"/>
    <w:uiPriority w:val="99"/>
    <w:rsid w:val="00915928"/>
    <w:pPr>
      <w:widowControl w:val="0"/>
      <w:autoSpaceDE w:val="0"/>
      <w:autoSpaceDN w:val="0"/>
      <w:adjustRightInd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286528"/>
    <w:rPr>
      <w:rFonts w:ascii="Tahoma" w:hAnsi="Tahoma" w:cs="Tahoma"/>
      <w:sz w:val="16"/>
      <w:szCs w:val="16"/>
    </w:rPr>
  </w:style>
  <w:style w:type="character" w:customStyle="1" w:styleId="BalloonTextChar">
    <w:name w:val="Balloon Text Char"/>
    <w:basedOn w:val="DefaultParagraphFont"/>
    <w:link w:val="BalloonText"/>
    <w:uiPriority w:val="99"/>
    <w:semiHidden/>
    <w:rsid w:val="00286528"/>
    <w:rPr>
      <w:rFonts w:ascii="Tahoma" w:hAnsi="Tahoma" w:cs="Tahoma"/>
      <w:sz w:val="16"/>
      <w:szCs w:val="16"/>
      <w:lang w:val="en-AU" w:eastAsia="ja-JP"/>
    </w:rPr>
  </w:style>
  <w:style w:type="character" w:styleId="CommentReference">
    <w:name w:val="annotation reference"/>
    <w:basedOn w:val="DefaultParagraphFont"/>
    <w:uiPriority w:val="99"/>
    <w:semiHidden/>
    <w:unhideWhenUsed/>
    <w:rsid w:val="00AA3E4B"/>
    <w:rPr>
      <w:sz w:val="16"/>
      <w:szCs w:val="16"/>
    </w:rPr>
  </w:style>
  <w:style w:type="paragraph" w:styleId="CommentText">
    <w:name w:val="annotation text"/>
    <w:basedOn w:val="Normal"/>
    <w:link w:val="CommentTextChar"/>
    <w:uiPriority w:val="99"/>
    <w:semiHidden/>
    <w:unhideWhenUsed/>
    <w:rsid w:val="00AA3E4B"/>
    <w:rPr>
      <w:sz w:val="20"/>
      <w:szCs w:val="20"/>
    </w:rPr>
  </w:style>
  <w:style w:type="character" w:customStyle="1" w:styleId="CommentTextChar">
    <w:name w:val="Comment Text Char"/>
    <w:basedOn w:val="DefaultParagraphFont"/>
    <w:link w:val="CommentText"/>
    <w:uiPriority w:val="99"/>
    <w:semiHidden/>
    <w:rsid w:val="00AA3E4B"/>
    <w:rPr>
      <w:lang w:val="en-AU" w:eastAsia="ja-JP"/>
    </w:rPr>
  </w:style>
  <w:style w:type="paragraph" w:styleId="CommentSubject">
    <w:name w:val="annotation subject"/>
    <w:basedOn w:val="CommentText"/>
    <w:next w:val="CommentText"/>
    <w:link w:val="CommentSubjectChar"/>
    <w:uiPriority w:val="99"/>
    <w:semiHidden/>
    <w:unhideWhenUsed/>
    <w:rsid w:val="00AA3E4B"/>
    <w:rPr>
      <w:b/>
      <w:bCs/>
    </w:rPr>
  </w:style>
  <w:style w:type="character" w:customStyle="1" w:styleId="CommentSubjectChar">
    <w:name w:val="Comment Subject Char"/>
    <w:basedOn w:val="CommentTextChar"/>
    <w:link w:val="CommentSubject"/>
    <w:uiPriority w:val="99"/>
    <w:semiHidden/>
    <w:rsid w:val="00AA3E4B"/>
    <w:rPr>
      <w:b/>
      <w:bCs/>
      <w:lang w:val="en-AU" w:eastAsia="ja-JP"/>
    </w:rPr>
  </w:style>
  <w:style w:type="paragraph" w:customStyle="1" w:styleId="1h1">
    <w:name w:val="_1_h1"/>
    <w:basedOn w:val="Normal"/>
    <w:rsid w:val="00C53917"/>
    <w:pPr>
      <w:widowControl/>
      <w:autoSpaceDE/>
      <w:autoSpaceDN/>
      <w:adjustRightInd/>
      <w:spacing w:beforeLines="50" w:afterLines="50"/>
    </w:pPr>
    <w:rPr>
      <w:rFonts w:ascii="Arial" w:eastAsiaTheme="minorEastAsia" w:hAnsi="Arial" w:cstheme="minorBidi"/>
      <w:color w:val="005A7B"/>
      <w:sz w:val="44"/>
      <w:szCs w:val="20"/>
      <w:lang w:eastAsia="en-US"/>
    </w:rPr>
  </w:style>
  <w:style w:type="paragraph" w:customStyle="1" w:styleId="2intro">
    <w:name w:val="_2_intro"/>
    <w:basedOn w:val="Normal"/>
    <w:rsid w:val="00C53917"/>
    <w:pPr>
      <w:widowControl/>
      <w:autoSpaceDE/>
      <w:autoSpaceDN/>
      <w:adjustRightInd/>
      <w:spacing w:beforeLines="50" w:afterLines="100"/>
    </w:pPr>
    <w:rPr>
      <w:rFonts w:ascii="Arial" w:eastAsiaTheme="minorEastAsia" w:hAnsi="Arial" w:cstheme="minorBidi"/>
      <w:color w:val="005A7B"/>
      <w:sz w:val="21"/>
      <w:szCs w:val="20"/>
      <w:lang w:eastAsia="en-US"/>
    </w:rPr>
  </w:style>
  <w:style w:type="paragraph" w:customStyle="1" w:styleId="2body">
    <w:name w:val="_2_body"/>
    <w:basedOn w:val="Normal"/>
    <w:rsid w:val="00C53917"/>
    <w:pPr>
      <w:widowControl/>
      <w:autoSpaceDE/>
      <w:autoSpaceDN/>
      <w:adjustRightInd/>
      <w:spacing w:beforeLines="50" w:afterLines="100"/>
    </w:pPr>
    <w:rPr>
      <w:rFonts w:ascii="Arial" w:eastAsiaTheme="minorEastAsia" w:hAnsi="Arial" w:cstheme="minorBidi"/>
      <w:color w:val="000000" w:themeColor="text1"/>
      <w:sz w:val="20"/>
      <w:szCs w:val="20"/>
      <w:lang w:eastAsia="en-US"/>
    </w:rPr>
  </w:style>
  <w:style w:type="character" w:customStyle="1" w:styleId="2body-bold">
    <w:name w:val="_2_body-bold"/>
    <w:basedOn w:val="DefaultParagraphFont"/>
    <w:rsid w:val="00C53917"/>
    <w:rPr>
      <w:rFonts w:ascii="Arial" w:hAnsi="Arial"/>
      <w:b/>
    </w:rPr>
  </w:style>
  <w:style w:type="table" w:styleId="TableGrid">
    <w:name w:val="Table Grid"/>
    <w:basedOn w:val="TableNormal"/>
    <w:locked/>
    <w:rsid w:val="006B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90B25"/>
    <w:rPr>
      <w:b/>
      <w:bCs/>
    </w:rPr>
  </w:style>
  <w:style w:type="character" w:customStyle="1" w:styleId="Heading1Char">
    <w:name w:val="Heading 1 Char"/>
    <w:basedOn w:val="DefaultParagraphFont"/>
    <w:link w:val="Heading1"/>
    <w:rsid w:val="004A22B9"/>
    <w:rPr>
      <w:rFonts w:asciiTheme="majorHAnsi" w:eastAsiaTheme="majorEastAsia" w:hAnsiTheme="majorHAnsi" w:cstheme="majorBidi"/>
      <w:b/>
      <w:bCs/>
      <w:color w:val="365F91" w:themeColor="accent1" w:themeShade="BF"/>
      <w:sz w:val="28"/>
      <w:szCs w:val="28"/>
      <w:lang w:val="en-AU" w:eastAsia="ja-JP"/>
    </w:rPr>
  </w:style>
  <w:style w:type="paragraph" w:styleId="TOCHeading">
    <w:name w:val="TOC Heading"/>
    <w:basedOn w:val="Heading1"/>
    <w:next w:val="Normal"/>
    <w:uiPriority w:val="39"/>
    <w:semiHidden/>
    <w:unhideWhenUsed/>
    <w:qFormat/>
    <w:rsid w:val="004A22B9"/>
    <w:pPr>
      <w:widowControl/>
      <w:autoSpaceDE/>
      <w:autoSpaceDN/>
      <w:adjustRightInd/>
      <w:spacing w:line="276" w:lineRule="auto"/>
      <w:outlineLvl w:val="9"/>
    </w:pPr>
    <w:rPr>
      <w:lang w:val="en-US"/>
    </w:rPr>
  </w:style>
  <w:style w:type="paragraph" w:styleId="TOC1">
    <w:name w:val="toc 1"/>
    <w:basedOn w:val="Normal"/>
    <w:next w:val="Normal"/>
    <w:autoRedefine/>
    <w:uiPriority w:val="39"/>
    <w:locked/>
    <w:rsid w:val="004A22B9"/>
    <w:pPr>
      <w:spacing w:after="100"/>
    </w:pPr>
  </w:style>
  <w:style w:type="character" w:styleId="Hyperlink">
    <w:name w:val="Hyperlink"/>
    <w:basedOn w:val="DefaultParagraphFont"/>
    <w:uiPriority w:val="99"/>
    <w:unhideWhenUsed/>
    <w:rsid w:val="004A22B9"/>
    <w:rPr>
      <w:color w:val="0000FF" w:themeColor="hyperlink"/>
      <w:u w:val="single"/>
    </w:rPr>
  </w:style>
  <w:style w:type="table" w:styleId="LightList-Accent5">
    <w:name w:val="Light List Accent 5"/>
    <w:basedOn w:val="TableNormal"/>
    <w:uiPriority w:val="61"/>
    <w:rsid w:val="007C6F2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0472">
      <w:bodyDiv w:val="1"/>
      <w:marLeft w:val="0"/>
      <w:marRight w:val="0"/>
      <w:marTop w:val="0"/>
      <w:marBottom w:val="0"/>
      <w:divBdr>
        <w:top w:val="none" w:sz="0" w:space="0" w:color="auto"/>
        <w:left w:val="none" w:sz="0" w:space="0" w:color="auto"/>
        <w:bottom w:val="none" w:sz="0" w:space="0" w:color="auto"/>
        <w:right w:val="none" w:sz="0" w:space="0" w:color="auto"/>
      </w:divBdr>
      <w:divsChild>
        <w:div w:id="1701515462">
          <w:marLeft w:val="0"/>
          <w:marRight w:val="0"/>
          <w:marTop w:val="240"/>
          <w:marBottom w:val="480"/>
          <w:divBdr>
            <w:top w:val="none" w:sz="0" w:space="0" w:color="auto"/>
            <w:left w:val="none" w:sz="0" w:space="0" w:color="auto"/>
            <w:bottom w:val="none" w:sz="0" w:space="0" w:color="auto"/>
            <w:right w:val="none" w:sz="0" w:space="0" w:color="auto"/>
          </w:divBdr>
          <w:divsChild>
            <w:div w:id="299388582">
              <w:marLeft w:val="0"/>
              <w:marRight w:val="0"/>
              <w:marTop w:val="0"/>
              <w:marBottom w:val="0"/>
              <w:divBdr>
                <w:top w:val="none" w:sz="0" w:space="0" w:color="auto"/>
                <w:left w:val="none" w:sz="0" w:space="0" w:color="auto"/>
                <w:bottom w:val="none" w:sz="0" w:space="0" w:color="auto"/>
                <w:right w:val="none" w:sz="0" w:space="0" w:color="auto"/>
              </w:divBdr>
              <w:divsChild>
                <w:div w:id="983004515">
                  <w:marLeft w:val="0"/>
                  <w:marRight w:val="0"/>
                  <w:marTop w:val="0"/>
                  <w:marBottom w:val="0"/>
                  <w:divBdr>
                    <w:top w:val="none" w:sz="0" w:space="0" w:color="auto"/>
                    <w:left w:val="none" w:sz="0" w:space="0" w:color="auto"/>
                    <w:bottom w:val="none" w:sz="0" w:space="0" w:color="auto"/>
                    <w:right w:val="none" w:sz="0" w:space="0" w:color="auto"/>
                  </w:divBdr>
                  <w:divsChild>
                    <w:div w:id="790249104">
                      <w:marLeft w:val="0"/>
                      <w:marRight w:val="0"/>
                      <w:marTop w:val="0"/>
                      <w:marBottom w:val="0"/>
                      <w:divBdr>
                        <w:top w:val="none" w:sz="0" w:space="0" w:color="auto"/>
                        <w:left w:val="none" w:sz="0" w:space="0" w:color="auto"/>
                        <w:bottom w:val="none" w:sz="0" w:space="0" w:color="auto"/>
                        <w:right w:val="none" w:sz="0" w:space="0" w:color="auto"/>
                      </w:divBdr>
                      <w:divsChild>
                        <w:div w:id="1705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96776">
      <w:bodyDiv w:val="1"/>
      <w:marLeft w:val="0"/>
      <w:marRight w:val="0"/>
      <w:marTop w:val="0"/>
      <w:marBottom w:val="0"/>
      <w:divBdr>
        <w:top w:val="none" w:sz="0" w:space="0" w:color="auto"/>
        <w:left w:val="none" w:sz="0" w:space="0" w:color="auto"/>
        <w:bottom w:val="none" w:sz="0" w:space="0" w:color="auto"/>
        <w:right w:val="none" w:sz="0" w:space="0" w:color="auto"/>
      </w:divBdr>
    </w:div>
    <w:div w:id="1595430722">
      <w:bodyDiv w:val="1"/>
      <w:marLeft w:val="0"/>
      <w:marRight w:val="0"/>
      <w:marTop w:val="0"/>
      <w:marBottom w:val="0"/>
      <w:divBdr>
        <w:top w:val="none" w:sz="0" w:space="0" w:color="auto"/>
        <w:left w:val="none" w:sz="0" w:space="0" w:color="auto"/>
        <w:bottom w:val="none" w:sz="0" w:space="0" w:color="auto"/>
        <w:right w:val="none" w:sz="0" w:space="0" w:color="auto"/>
      </w:divBdr>
    </w:div>
    <w:div w:id="194596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opyright@health.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Proposal" ma:contentTypeID="0x010100435D70B28A15C1449393E6EB5B08D01F09005AB63F8AC264914CB7C55ABB90710118" ma:contentTypeVersion="0" ma:contentTypeDescription="Create project proposal document" ma:contentTypeScope="" ma:versionID="4632e33f8ba86b49ad56d9fa8afd33e1">
  <xsd:schema xmlns:xsd="http://www.w3.org/2001/XMLSchema" xmlns:xs="http://www.w3.org/2001/XMLSchema" xmlns:p="http://schemas.microsoft.com/office/2006/metadata/properties" xmlns:ns2="b26f12c0-2397-4242-8c80-fd768a193b91" targetNamespace="http://schemas.microsoft.com/office/2006/metadata/properties" ma:root="true" ma:fieldsID="b52b3c00d4d4499b07aa6d7268e0a41f" ns2:_="">
    <xsd:import namespace="b26f12c0-2397-4242-8c80-fd768a193b91"/>
    <xsd:element name="properties">
      <xsd:complexType>
        <xsd:sequence>
          <xsd:element name="documentManagement">
            <xsd:complexType>
              <xsd:all>
                <xsd:element ref="ns2:Project_x0020_Name" minOccurs="0"/>
                <xsd:element ref="ns2:Project_x0020_Executive" minOccurs="0"/>
                <xsd:element ref="ns2:Project_x0020_Manager" minOccurs="0"/>
                <xsd:element ref="ns2:Executive_x0020_Sponsor" minOccurs="0"/>
                <xsd:element ref="ns2:Trim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Project_x0020_Name" ma:index="3" nillable="true" ma:displayName="Project Name" ma:description="" ma:internalName="Project_x0020_Name">
      <xsd:simpleType>
        <xsd:restriction base="dms:Text">
          <xsd:maxLength value="255"/>
        </xsd:restriction>
      </xsd:simpleType>
    </xsd:element>
    <xsd:element name="Project_x0020_Executive" ma:index="4" nillable="true" ma:displayName="Project Executive" ma:description="" ma:internalName="Project_x0020_Executive">
      <xsd:simpleType>
        <xsd:restriction base="dms:Text">
          <xsd:maxLength value="255"/>
        </xsd:restriction>
      </xsd:simpleType>
    </xsd:element>
    <xsd:element name="Project_x0020_Manager" ma:index="5" nillable="true" ma:displayName="Project Manager" ma:description="" ma:internalName="Project_x0020_Manager">
      <xsd:simpleType>
        <xsd:restriction base="dms:Text">
          <xsd:maxLength value="255"/>
        </xsd:restriction>
      </xsd:simpleType>
    </xsd:element>
    <xsd:element name="Executive_x0020_Sponsor" ma:index="6" nillable="true" ma:displayName="Executive Sponsor" ma:description="Provide the name and title of the executive proposing this project" ma:internalName="Executive_x0020_Sponsor">
      <xsd:simpleType>
        <xsd:restriction base="dms:Text">
          <xsd:maxLength value="255"/>
        </xsd:restriction>
      </xsd:simpleType>
    </xsd:element>
    <xsd:element name="Trim_x0020_Reference" ma:index="13" nillable="true" ma:displayName="Trim Reference" ma:description="Document reference in TRIM" ma:internalName="Trim_x0020_Referenc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Name xmlns="b26f12c0-2397-4242-8c80-fd768a193b91" xsi:nil="true"/>
    <Trim_x0020_Reference xmlns="b26f12c0-2397-4242-8c80-fd768a193b91" xsi:nil="true"/>
    <Project_x0020_Manager xmlns="b26f12c0-2397-4242-8c80-fd768a193b91" xsi:nil="true"/>
    <Executive_x0020_Sponsor xmlns="b26f12c0-2397-4242-8c80-fd768a193b91" xsi:nil="true"/>
    <Project_x0020_Executive xmlns="b26f12c0-2397-4242-8c80-fd768a193b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2f65582-1933-475e-97e6-ecaac437d71e" ContentTypeId="0x010100435D70B28A15C1449393E6EB5B08D01F0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0646B-E3A1-4259-89BE-ED37FF56F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8AA45-EC76-4B29-BD6E-2C8D8361E56F}">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b26f12c0-2397-4242-8c80-fd768a193b91"/>
  </ds:schemaRefs>
</ds:datastoreItem>
</file>

<file path=customXml/itemProps3.xml><?xml version="1.0" encoding="utf-8"?>
<ds:datastoreItem xmlns:ds="http://schemas.openxmlformats.org/officeDocument/2006/customXml" ds:itemID="{B7CA0C52-89A7-47CB-BFC2-2029F1294624}">
  <ds:schemaRefs>
    <ds:schemaRef ds:uri="http://schemas.microsoft.com/sharepoint/v3/contenttype/forms"/>
  </ds:schemaRefs>
</ds:datastoreItem>
</file>

<file path=customXml/itemProps4.xml><?xml version="1.0" encoding="utf-8"?>
<ds:datastoreItem xmlns:ds="http://schemas.openxmlformats.org/officeDocument/2006/customXml" ds:itemID="{034CBF31-80A7-4FC9-939A-0382A51B4C66}">
  <ds:schemaRefs>
    <ds:schemaRef ds:uri="Microsoft.SharePoint.Taxonomy.ContentTypeSync"/>
  </ds:schemaRefs>
</ds:datastoreItem>
</file>

<file path=customXml/itemProps5.xml><?xml version="1.0" encoding="utf-8"?>
<ds:datastoreItem xmlns:ds="http://schemas.openxmlformats.org/officeDocument/2006/customXml" ds:itemID="{E8237353-0116-4C6D-BFD8-96CCB0A8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3058</Words>
  <Characters>20926</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EAGAR Importance Rating and Summary of Antibiotic Uses in</vt:lpstr>
    </vt:vector>
  </TitlesOfParts>
  <Company>Dept Health And Ageing</Company>
  <LinksUpToDate>false</LinksUpToDate>
  <CharactersWithSpaces>23937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EAGAR Importance Rating and Summary of Antibiotic Uses in</dc:title>
  <dc:creator>John Turnidge</dc:creator>
  <cp:lastModifiedBy>LAU, Lisa</cp:lastModifiedBy>
  <cp:revision>3</cp:revision>
  <cp:lastPrinted>2017-11-10T06:23:00Z</cp:lastPrinted>
  <dcterms:created xsi:type="dcterms:W3CDTF">2017-11-09T01:49:00Z</dcterms:created>
  <dcterms:modified xsi:type="dcterms:W3CDTF">2017-11-10T06:24:00Z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0x010100435D70B28A15C1449393E6EB5B08D01F09005AB63F8AC264914CB7C55ABB90710118</vt:lpwstr>
  </property>
</Properties>
</file>