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92C6" w14:textId="7ECE17F5" w:rsidR="000F3500" w:rsidRPr="00B637F1" w:rsidRDefault="003D1A8A" w:rsidP="00B637F1">
      <w:pPr>
        <w:pStyle w:val="Title"/>
      </w:pPr>
      <w:r w:rsidRPr="00B637F1">
        <w:t>Comparison between the Importance Ratings and Summary</w:t>
      </w:r>
      <w:bookmarkStart w:id="0" w:name="_GoBack"/>
      <w:bookmarkEnd w:id="0"/>
      <w:r w:rsidRPr="00B637F1">
        <w:t xml:space="preserve"> of Antibacterial Uses in Human </w:t>
      </w:r>
      <w:r w:rsidR="00807E20" w:rsidRPr="00B637F1">
        <w:t xml:space="preserve">and Animal </w:t>
      </w:r>
      <w:r w:rsidRPr="00B637F1">
        <w:t>Health in Australia and the World Health Organization (WHO) Critically Important Antimicrobials for Human Medicine 5th revision, 201</w:t>
      </w:r>
      <w:r w:rsidR="002E398A">
        <w:t>7</w:t>
      </w:r>
    </w:p>
    <w:p w14:paraId="761A92C7" w14:textId="77777777" w:rsidR="003D1A8A" w:rsidRDefault="003D1A8A" w:rsidP="003D1A8A">
      <w:pPr>
        <w:pStyle w:val="ListParagraph"/>
        <w:ind w:left="360" w:hanging="360"/>
      </w:pPr>
    </w:p>
    <w:p w14:paraId="761A92C8" w14:textId="77777777" w:rsidR="003D1A8A" w:rsidRDefault="003D1A8A" w:rsidP="003D1A8A">
      <w:pPr>
        <w:pStyle w:val="ListParagraph"/>
        <w:ind w:left="360" w:hanging="360"/>
        <w:sectPr w:rsidR="003D1A8A" w:rsidSect="000F3500">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09" w:footer="709" w:gutter="0"/>
          <w:cols w:space="708"/>
          <w:titlePg/>
          <w:docGrid w:linePitch="360"/>
        </w:sectPr>
      </w:pPr>
    </w:p>
    <w:p w14:paraId="761A92CB" w14:textId="41FF1288" w:rsidR="003D1A8A" w:rsidRPr="00B637F1" w:rsidRDefault="003D1A8A" w:rsidP="00173CC9">
      <w:r w:rsidRPr="00B637F1">
        <w:lastRenderedPageBreak/>
        <w:t xml:space="preserve">The </w:t>
      </w:r>
      <w:r w:rsidRPr="00B637F1">
        <w:rPr>
          <w:rStyle w:val="Emphasis"/>
        </w:rPr>
        <w:t>Importance Ratings and Summary of Antibacterial Uses in Human and Animal Health in Australia</w:t>
      </w:r>
      <w:r w:rsidRPr="00B637F1">
        <w:t xml:space="preserve"> (the Australian Importance Ratings) now references and takes into account the World Health Organization’s Critically Important Antimicrobials for Human Medicine,</w:t>
      </w:r>
      <w:r w:rsidR="00B637F1" w:rsidRPr="00B637F1">
        <w:t xml:space="preserve"> 5th revision, 2017 (WHO List).</w:t>
      </w:r>
    </w:p>
    <w:p w14:paraId="761A92CC" w14:textId="77777777" w:rsidR="003D1A8A" w:rsidRPr="003D1A8A" w:rsidRDefault="003D1A8A" w:rsidP="00B637F1">
      <w:r w:rsidRPr="003D1A8A">
        <w:t xml:space="preserve">The Australian Importance Ratings do not attempt to align </w:t>
      </w:r>
      <w:proofErr w:type="spellStart"/>
      <w:r w:rsidRPr="003D1A8A">
        <w:t>antibacterials</w:t>
      </w:r>
      <w:proofErr w:type="spellEnd"/>
      <w:r w:rsidRPr="003D1A8A">
        <w:t xml:space="preserve"> with a “High Importance” rating with those with a “Critically Important” or “Highly Important” classification in the WHO List because the criteria to determine these classifications are different.</w:t>
      </w:r>
    </w:p>
    <w:p w14:paraId="761A92CD" w14:textId="507F8C6B" w:rsidR="003D1A8A" w:rsidRPr="003D1A8A" w:rsidRDefault="003D1A8A" w:rsidP="00B637F1">
      <w:r w:rsidRPr="003D1A8A">
        <w:t>There is a high level of correlation between the two lists in terms of the highest classification antibacterial classes, which is a consideration for A</w:t>
      </w:r>
      <w:r w:rsidR="00B637F1">
        <w:t>ustralian livestock industries.</w:t>
      </w:r>
    </w:p>
    <w:p w14:paraId="761A92CE" w14:textId="09C4894D" w:rsidR="003D1A8A" w:rsidRPr="003D1A8A" w:rsidRDefault="003D1A8A" w:rsidP="00B637F1">
      <w:r w:rsidRPr="003D1A8A">
        <w:t xml:space="preserve">The exceptions are the macrolides and </w:t>
      </w:r>
      <w:proofErr w:type="spellStart"/>
      <w:r w:rsidRPr="003D1A8A">
        <w:t>ketolides</w:t>
      </w:r>
      <w:proofErr w:type="spellEnd"/>
      <w:r w:rsidRPr="003D1A8A">
        <w:t>, and penicillins, which are Critically Important under the WHO criteria, but of Low Importance under the Australian Import</w:t>
      </w:r>
      <w:r w:rsidR="00B637F1">
        <w:t>ance Ratings (see table below).</w:t>
      </w:r>
    </w:p>
    <w:p w14:paraId="761A92CF" w14:textId="29CDB9F4" w:rsidR="003D1A8A" w:rsidRPr="003D1A8A" w:rsidRDefault="003D1A8A" w:rsidP="00B637F1">
      <w:r w:rsidRPr="003D1A8A">
        <w:t xml:space="preserve">The difference in importance rating reflects the relatively low reliance on these </w:t>
      </w:r>
      <w:proofErr w:type="spellStart"/>
      <w:r w:rsidRPr="003D1A8A">
        <w:t>antibacterials</w:t>
      </w:r>
      <w:proofErr w:type="spellEnd"/>
      <w:r w:rsidRPr="003D1A8A">
        <w:t xml:space="preserve"> in Australia because resistance is widespread in many human pathogens </w:t>
      </w:r>
      <w:r w:rsidR="00B637F1">
        <w:t>causing infection in Australia.</w:t>
      </w:r>
    </w:p>
    <w:p w14:paraId="761A92D0" w14:textId="77777777" w:rsidR="003D1A8A" w:rsidRPr="003D1A8A" w:rsidRDefault="003D1A8A" w:rsidP="00B637F1">
      <w:r w:rsidRPr="003D1A8A">
        <w:t xml:space="preserve">Although the rating for </w:t>
      </w:r>
      <w:proofErr w:type="spellStart"/>
      <w:r w:rsidRPr="003D1A8A">
        <w:t>streptogramins</w:t>
      </w:r>
      <w:proofErr w:type="spellEnd"/>
      <w:r w:rsidRPr="003D1A8A">
        <w:t xml:space="preserve"> has been reduced from “critically important” to “highly important” in the latest iteration of the WHO List, they remain in the highest category (high) in the Australian Importance Ratings. This is because </w:t>
      </w:r>
      <w:proofErr w:type="spellStart"/>
      <w:r w:rsidRPr="003D1A8A">
        <w:t>pristinamycin</w:t>
      </w:r>
      <w:proofErr w:type="spellEnd"/>
      <w:r w:rsidRPr="003D1A8A">
        <w:t xml:space="preserve"> is a reserve agent used for methicillin-resistant </w:t>
      </w:r>
      <w:r w:rsidRPr="00B637F1">
        <w:rPr>
          <w:rStyle w:val="Emphasis"/>
        </w:rPr>
        <w:t>Staphylococcus aureus</w:t>
      </w:r>
      <w:r w:rsidRPr="003D1A8A">
        <w:t xml:space="preserve"> (MRSA) infection in Australia.</w:t>
      </w:r>
    </w:p>
    <w:p w14:paraId="761A92D1" w14:textId="0951A49F" w:rsidR="003D1A8A" w:rsidRPr="003D1A8A" w:rsidRDefault="003D1A8A" w:rsidP="00B637F1">
      <w:r w:rsidRPr="003D1A8A">
        <w:t xml:space="preserve">The WHO recognises that implementation at the national level requires that national considerations be taken into account and may vary from country to country. Specifically the WHO List notes: “The experts recognized that the implementation of the concept at national levels required that national considerations would be taken into account, and consequently lists may vary from country to country…” </w:t>
      </w:r>
      <w:proofErr w:type="gramStart"/>
      <w:r w:rsidR="002E398A">
        <w:t>(Page 2 of the 5th edition, 2017</w:t>
      </w:r>
      <w:r w:rsidRPr="003D1A8A">
        <w:t>).</w:t>
      </w:r>
      <w:proofErr w:type="gramEnd"/>
    </w:p>
    <w:p w14:paraId="761A92D2" w14:textId="7B350F31" w:rsidR="003D1A8A" w:rsidRPr="003D1A8A" w:rsidRDefault="003D1A8A" w:rsidP="00B637F1">
      <w:r w:rsidRPr="003D1A8A">
        <w:t>To ensure that the Australian context is taken into account, the Australian Importance Ratings have precedence above othe</w:t>
      </w:r>
      <w:r w:rsidR="00B637F1">
        <w:t>r lists including the WHO List.</w:t>
      </w:r>
    </w:p>
    <w:tbl>
      <w:tblPr>
        <w:tblStyle w:val="TableGrid"/>
        <w:tblW w:w="5000" w:type="pct"/>
        <w:tblLayout w:type="fixed"/>
        <w:tblLook w:val="04A0" w:firstRow="1" w:lastRow="0" w:firstColumn="1" w:lastColumn="0" w:noHBand="0" w:noVBand="1"/>
        <w:tblDescription w:val="This table list the World Health Organisations critically important antimicrobials for human medicine, (5th revision, 2017) and the ASTAG Antibacterial Importance Ratings, for each in 2018."/>
      </w:tblPr>
      <w:tblGrid>
        <w:gridCol w:w="2251"/>
        <w:gridCol w:w="1829"/>
        <w:gridCol w:w="1804"/>
        <w:gridCol w:w="2008"/>
        <w:gridCol w:w="2302"/>
      </w:tblGrid>
      <w:tr w:rsidR="003D1A8A" w:rsidRPr="00B637F1" w14:paraId="761A92D9" w14:textId="77777777" w:rsidTr="00173CC9">
        <w:trPr>
          <w:trHeight w:val="748"/>
          <w:tblHeader/>
        </w:trPr>
        <w:tc>
          <w:tcPr>
            <w:tcW w:w="3871" w:type="pct"/>
            <w:gridSpan w:val="4"/>
            <w:tcBorders>
              <w:right w:val="double" w:sz="4" w:space="0" w:color="auto"/>
            </w:tcBorders>
          </w:tcPr>
          <w:p w14:paraId="761A92D7" w14:textId="77777777" w:rsidR="003D1A8A" w:rsidRPr="00B637F1" w:rsidRDefault="003D1A8A" w:rsidP="00B637F1">
            <w:pPr>
              <w:pStyle w:val="Tableheading"/>
            </w:pPr>
            <w:r w:rsidRPr="00B637F1">
              <w:lastRenderedPageBreak/>
              <w:t>WHO Critically important antimicrobials for human medicine, 5th revision, 2017</w:t>
            </w:r>
          </w:p>
        </w:tc>
        <w:tc>
          <w:tcPr>
            <w:tcW w:w="1129" w:type="pct"/>
            <w:tcBorders>
              <w:left w:val="double" w:sz="4" w:space="0" w:color="auto"/>
            </w:tcBorders>
          </w:tcPr>
          <w:p w14:paraId="761A92D8" w14:textId="77777777" w:rsidR="003D1A8A" w:rsidRPr="00B637F1" w:rsidRDefault="003D1A8A" w:rsidP="00B637F1">
            <w:pPr>
              <w:pStyle w:val="Tableheading"/>
            </w:pPr>
            <w:r w:rsidRPr="00B637F1">
              <w:t>ASTAG Antibacterial Importance Ratings, 2018</w:t>
            </w:r>
          </w:p>
        </w:tc>
      </w:tr>
      <w:tr w:rsidR="003D1A8A" w:rsidRPr="00DE156B" w14:paraId="761A92E1" w14:textId="77777777" w:rsidTr="00173CC9">
        <w:trPr>
          <w:tblHeader/>
        </w:trPr>
        <w:tc>
          <w:tcPr>
            <w:tcW w:w="1104" w:type="pct"/>
          </w:tcPr>
          <w:p w14:paraId="761A92DA" w14:textId="77777777" w:rsidR="003D1A8A" w:rsidRPr="00DE156B" w:rsidRDefault="003D1A8A" w:rsidP="00B637F1">
            <w:pPr>
              <w:pStyle w:val="Tableheading"/>
            </w:pPr>
            <w:r w:rsidRPr="00DE156B">
              <w:t>Antimicrobial class</w:t>
            </w:r>
          </w:p>
        </w:tc>
        <w:tc>
          <w:tcPr>
            <w:tcW w:w="897" w:type="pct"/>
          </w:tcPr>
          <w:p w14:paraId="761A92DB" w14:textId="77777777" w:rsidR="003D1A8A" w:rsidRPr="00DE156B" w:rsidRDefault="003D1A8A" w:rsidP="00B637F1">
            <w:pPr>
              <w:pStyle w:val="Tableheading"/>
            </w:pPr>
            <w:r w:rsidRPr="00DE156B">
              <w:t>Example drug</w:t>
            </w:r>
          </w:p>
          <w:p w14:paraId="761A92DC" w14:textId="77777777" w:rsidR="003D1A8A" w:rsidRPr="00DE156B" w:rsidRDefault="003D1A8A" w:rsidP="00B637F1">
            <w:pPr>
              <w:pStyle w:val="Tableheading"/>
            </w:pPr>
            <w:r w:rsidRPr="00DE156B">
              <w:t>human use</w:t>
            </w:r>
          </w:p>
        </w:tc>
        <w:tc>
          <w:tcPr>
            <w:tcW w:w="885" w:type="pct"/>
          </w:tcPr>
          <w:p w14:paraId="761A92DD" w14:textId="77777777" w:rsidR="003D1A8A" w:rsidRPr="00DE156B" w:rsidRDefault="003D1A8A" w:rsidP="00B637F1">
            <w:pPr>
              <w:pStyle w:val="Tableheading"/>
            </w:pPr>
            <w:r w:rsidRPr="00DE156B">
              <w:t>Example drug</w:t>
            </w:r>
          </w:p>
          <w:p w14:paraId="761A92DE" w14:textId="77777777" w:rsidR="003D1A8A" w:rsidRPr="00DE156B" w:rsidRDefault="003D1A8A" w:rsidP="00B637F1">
            <w:pPr>
              <w:pStyle w:val="Tableheading"/>
            </w:pPr>
            <w:r w:rsidRPr="00DE156B">
              <w:t>livestock</w:t>
            </w:r>
          </w:p>
        </w:tc>
        <w:tc>
          <w:tcPr>
            <w:tcW w:w="985" w:type="pct"/>
            <w:tcBorders>
              <w:right w:val="double" w:sz="4" w:space="0" w:color="auto"/>
            </w:tcBorders>
          </w:tcPr>
          <w:p w14:paraId="761A92DF" w14:textId="77777777" w:rsidR="003D1A8A" w:rsidRPr="00DE156B" w:rsidRDefault="003D1A8A" w:rsidP="00B637F1">
            <w:pPr>
              <w:pStyle w:val="Tableheading"/>
            </w:pPr>
            <w:r w:rsidRPr="00DE156B">
              <w:t>Classification</w:t>
            </w:r>
          </w:p>
        </w:tc>
        <w:tc>
          <w:tcPr>
            <w:tcW w:w="1129" w:type="pct"/>
            <w:tcBorders>
              <w:left w:val="double" w:sz="4" w:space="0" w:color="auto"/>
            </w:tcBorders>
          </w:tcPr>
          <w:p w14:paraId="761A92E0" w14:textId="77777777" w:rsidR="003D1A8A" w:rsidRPr="00DE156B" w:rsidRDefault="003D1A8A" w:rsidP="00B637F1">
            <w:pPr>
              <w:pStyle w:val="Tableheading"/>
            </w:pPr>
            <w:r w:rsidRPr="00DE156B">
              <w:t>Importance Rating</w:t>
            </w:r>
          </w:p>
        </w:tc>
      </w:tr>
      <w:tr w:rsidR="003D1A8A" w:rsidRPr="00DE156B" w14:paraId="761A92E8" w14:textId="77777777" w:rsidTr="00173CC9">
        <w:tc>
          <w:tcPr>
            <w:tcW w:w="1104" w:type="pct"/>
          </w:tcPr>
          <w:p w14:paraId="761A92E2" w14:textId="77777777" w:rsidR="003D1A8A" w:rsidRPr="00DE156B" w:rsidRDefault="003D1A8A" w:rsidP="00B637F1">
            <w:pPr>
              <w:pStyle w:val="Tabletext"/>
            </w:pPr>
            <w:r w:rsidRPr="00DE156B">
              <w:t>aminoglycosides</w:t>
            </w:r>
          </w:p>
        </w:tc>
        <w:tc>
          <w:tcPr>
            <w:tcW w:w="897" w:type="pct"/>
          </w:tcPr>
          <w:p w14:paraId="761A92E3" w14:textId="77777777" w:rsidR="003D1A8A" w:rsidRPr="00DE156B" w:rsidRDefault="003D1A8A" w:rsidP="00B637F1">
            <w:pPr>
              <w:pStyle w:val="Tabletext"/>
            </w:pPr>
            <w:r w:rsidRPr="00DE156B">
              <w:t>gentamicin</w:t>
            </w:r>
          </w:p>
        </w:tc>
        <w:tc>
          <w:tcPr>
            <w:tcW w:w="885" w:type="pct"/>
          </w:tcPr>
          <w:p w14:paraId="761A92E4" w14:textId="77777777" w:rsidR="003D1A8A" w:rsidRPr="00DE156B" w:rsidRDefault="003D1A8A" w:rsidP="00B637F1">
            <w:pPr>
              <w:pStyle w:val="Tabletext"/>
            </w:pPr>
            <w:r w:rsidRPr="00DE156B">
              <w:t>neomycin</w:t>
            </w:r>
          </w:p>
        </w:tc>
        <w:tc>
          <w:tcPr>
            <w:tcW w:w="985" w:type="pct"/>
            <w:tcBorders>
              <w:right w:val="double" w:sz="4" w:space="0" w:color="auto"/>
            </w:tcBorders>
          </w:tcPr>
          <w:p w14:paraId="761A92E5"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2E6" w14:textId="77777777" w:rsidR="003D1A8A" w:rsidRPr="00DE156B" w:rsidRDefault="003D1A8A" w:rsidP="00B637F1">
            <w:pPr>
              <w:pStyle w:val="Tabletext"/>
            </w:pPr>
            <w:r w:rsidRPr="00DE156B">
              <w:t>Mix of Low, Medium and High ratings for different drugs within this class.</w:t>
            </w:r>
          </w:p>
          <w:p w14:paraId="761A92E7" w14:textId="77777777" w:rsidR="003D1A8A" w:rsidRPr="00DE156B" w:rsidRDefault="003D1A8A" w:rsidP="00B637F1">
            <w:pPr>
              <w:pStyle w:val="Tabletext"/>
            </w:pPr>
            <w:r w:rsidRPr="00DE156B">
              <w:t>High for amikacin</w:t>
            </w:r>
          </w:p>
        </w:tc>
      </w:tr>
      <w:tr w:rsidR="003D1A8A" w:rsidRPr="00DE156B" w14:paraId="761A92EE" w14:textId="77777777" w:rsidTr="00173CC9">
        <w:tc>
          <w:tcPr>
            <w:tcW w:w="1104" w:type="pct"/>
          </w:tcPr>
          <w:p w14:paraId="761A92E9" w14:textId="77777777" w:rsidR="003D1A8A" w:rsidRPr="00DE156B" w:rsidRDefault="003D1A8A" w:rsidP="00B637F1">
            <w:pPr>
              <w:pStyle w:val="Tabletext"/>
            </w:pPr>
            <w:proofErr w:type="spellStart"/>
            <w:r w:rsidRPr="00DE156B">
              <w:t>ansamycins</w:t>
            </w:r>
            <w:proofErr w:type="spellEnd"/>
            <w:r w:rsidRPr="00DE156B">
              <w:t>*</w:t>
            </w:r>
          </w:p>
        </w:tc>
        <w:tc>
          <w:tcPr>
            <w:tcW w:w="897" w:type="pct"/>
          </w:tcPr>
          <w:p w14:paraId="761A92EA" w14:textId="77777777" w:rsidR="003D1A8A" w:rsidRPr="00DE156B" w:rsidRDefault="003D1A8A" w:rsidP="00B637F1">
            <w:pPr>
              <w:pStyle w:val="Tabletext"/>
            </w:pPr>
            <w:r w:rsidRPr="00DE156B">
              <w:t>rifampicin</w:t>
            </w:r>
          </w:p>
        </w:tc>
        <w:tc>
          <w:tcPr>
            <w:tcW w:w="885" w:type="pct"/>
          </w:tcPr>
          <w:p w14:paraId="761A92EB" w14:textId="77777777" w:rsidR="003D1A8A" w:rsidRPr="00DE156B" w:rsidRDefault="003D1A8A" w:rsidP="00B637F1">
            <w:pPr>
              <w:pStyle w:val="Tabletext"/>
            </w:pPr>
            <w:r w:rsidRPr="00DE156B">
              <w:t>none</w:t>
            </w:r>
          </w:p>
        </w:tc>
        <w:tc>
          <w:tcPr>
            <w:tcW w:w="985" w:type="pct"/>
            <w:tcBorders>
              <w:right w:val="double" w:sz="4" w:space="0" w:color="auto"/>
            </w:tcBorders>
          </w:tcPr>
          <w:p w14:paraId="761A92EC" w14:textId="77777777" w:rsidR="003D1A8A" w:rsidRPr="00DE156B" w:rsidRDefault="003D1A8A" w:rsidP="00B637F1">
            <w:pPr>
              <w:pStyle w:val="Tabletext"/>
              <w:rPr>
                <w:b/>
              </w:rPr>
            </w:pPr>
            <w:r w:rsidRPr="00DE156B">
              <w:t>critically important</w:t>
            </w:r>
          </w:p>
        </w:tc>
        <w:tc>
          <w:tcPr>
            <w:tcW w:w="1129" w:type="pct"/>
            <w:tcBorders>
              <w:left w:val="double" w:sz="4" w:space="0" w:color="auto"/>
            </w:tcBorders>
          </w:tcPr>
          <w:p w14:paraId="761A92ED" w14:textId="77777777" w:rsidR="003D1A8A" w:rsidRPr="00DE156B" w:rsidRDefault="003D1A8A" w:rsidP="00B637F1">
            <w:pPr>
              <w:pStyle w:val="Tabletext"/>
            </w:pPr>
            <w:r w:rsidRPr="00DE156B">
              <w:t>high</w:t>
            </w:r>
          </w:p>
        </w:tc>
      </w:tr>
      <w:tr w:rsidR="003D1A8A" w:rsidRPr="00DE156B" w14:paraId="761A92F4" w14:textId="77777777" w:rsidTr="00173CC9">
        <w:tc>
          <w:tcPr>
            <w:tcW w:w="1104" w:type="pct"/>
          </w:tcPr>
          <w:p w14:paraId="761A92EF" w14:textId="77777777" w:rsidR="003D1A8A" w:rsidRPr="00DE156B" w:rsidRDefault="003D1A8A" w:rsidP="00B637F1">
            <w:pPr>
              <w:pStyle w:val="Tabletext"/>
            </w:pPr>
            <w:proofErr w:type="spellStart"/>
            <w:r w:rsidRPr="00DE156B">
              <w:t>carbapenems</w:t>
            </w:r>
            <w:proofErr w:type="spellEnd"/>
          </w:p>
        </w:tc>
        <w:tc>
          <w:tcPr>
            <w:tcW w:w="897" w:type="pct"/>
          </w:tcPr>
          <w:p w14:paraId="761A92F0" w14:textId="77777777" w:rsidR="003D1A8A" w:rsidRPr="00DE156B" w:rsidRDefault="003D1A8A" w:rsidP="00B637F1">
            <w:pPr>
              <w:pStyle w:val="Tabletext"/>
            </w:pPr>
            <w:proofErr w:type="spellStart"/>
            <w:r w:rsidRPr="00DE156B">
              <w:t>meropenem</w:t>
            </w:r>
            <w:proofErr w:type="spellEnd"/>
          </w:p>
        </w:tc>
        <w:tc>
          <w:tcPr>
            <w:tcW w:w="885" w:type="pct"/>
          </w:tcPr>
          <w:p w14:paraId="761A92F1" w14:textId="77777777" w:rsidR="003D1A8A" w:rsidRPr="00DE156B" w:rsidRDefault="003D1A8A" w:rsidP="00B637F1">
            <w:pPr>
              <w:pStyle w:val="Tabletext"/>
            </w:pPr>
            <w:r w:rsidRPr="00DE156B">
              <w:t>none</w:t>
            </w:r>
          </w:p>
        </w:tc>
        <w:tc>
          <w:tcPr>
            <w:tcW w:w="985" w:type="pct"/>
            <w:tcBorders>
              <w:right w:val="double" w:sz="4" w:space="0" w:color="auto"/>
            </w:tcBorders>
          </w:tcPr>
          <w:p w14:paraId="761A92F2"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2F3" w14:textId="77777777" w:rsidR="003D1A8A" w:rsidRPr="00DE156B" w:rsidRDefault="003D1A8A" w:rsidP="00B637F1">
            <w:pPr>
              <w:pStyle w:val="Tabletext"/>
            </w:pPr>
            <w:r w:rsidRPr="00DE156B">
              <w:t>high</w:t>
            </w:r>
          </w:p>
        </w:tc>
      </w:tr>
      <w:tr w:rsidR="003D1A8A" w:rsidRPr="00DE156B" w14:paraId="761A92FA" w14:textId="77777777" w:rsidTr="00173CC9">
        <w:tc>
          <w:tcPr>
            <w:tcW w:w="1104" w:type="pct"/>
          </w:tcPr>
          <w:p w14:paraId="761A92F5" w14:textId="77777777" w:rsidR="003D1A8A" w:rsidRPr="00DE156B" w:rsidRDefault="003D1A8A" w:rsidP="00B637F1">
            <w:pPr>
              <w:pStyle w:val="Tabletext"/>
            </w:pPr>
            <w:proofErr w:type="spellStart"/>
            <w:r w:rsidRPr="00DE156B">
              <w:t>cephalosporins</w:t>
            </w:r>
            <w:proofErr w:type="spellEnd"/>
            <w:r w:rsidRPr="00DE156B">
              <w:rPr>
                <w:vertAlign w:val="superscript"/>
              </w:rPr>
              <w:t>#</w:t>
            </w:r>
            <w:r w:rsidRPr="00DE156B">
              <w:t xml:space="preserve"> (3</w:t>
            </w:r>
            <w:r w:rsidRPr="00DE156B">
              <w:rPr>
                <w:vertAlign w:val="superscript"/>
              </w:rPr>
              <w:t>rd</w:t>
            </w:r>
            <w:r w:rsidRPr="00DE156B">
              <w:t>, 4</w:t>
            </w:r>
            <w:r w:rsidRPr="00DE156B">
              <w:rPr>
                <w:vertAlign w:val="superscript"/>
              </w:rPr>
              <w:t>th</w:t>
            </w:r>
            <w:r w:rsidRPr="00DE156B">
              <w:t xml:space="preserve"> &amp; 5</w:t>
            </w:r>
            <w:r w:rsidRPr="00DE156B">
              <w:rPr>
                <w:vertAlign w:val="superscript"/>
              </w:rPr>
              <w:t>th</w:t>
            </w:r>
            <w:r w:rsidRPr="00DE156B">
              <w:t xml:space="preserve"> generation)</w:t>
            </w:r>
          </w:p>
        </w:tc>
        <w:tc>
          <w:tcPr>
            <w:tcW w:w="897" w:type="pct"/>
          </w:tcPr>
          <w:p w14:paraId="761A92F6" w14:textId="77777777" w:rsidR="003D1A8A" w:rsidRPr="00DE156B" w:rsidRDefault="003D1A8A" w:rsidP="00B637F1">
            <w:pPr>
              <w:pStyle w:val="Tabletext"/>
            </w:pPr>
            <w:r w:rsidRPr="00DE156B">
              <w:t>ceftriaxone</w:t>
            </w:r>
          </w:p>
        </w:tc>
        <w:tc>
          <w:tcPr>
            <w:tcW w:w="885" w:type="pct"/>
          </w:tcPr>
          <w:p w14:paraId="761A92F7" w14:textId="77777777" w:rsidR="003D1A8A" w:rsidRPr="00DE156B" w:rsidRDefault="003D1A8A" w:rsidP="00B637F1">
            <w:pPr>
              <w:pStyle w:val="Tabletext"/>
            </w:pPr>
            <w:proofErr w:type="spellStart"/>
            <w:r w:rsidRPr="00DE156B">
              <w:t>ceftiofur</w:t>
            </w:r>
            <w:proofErr w:type="spellEnd"/>
          </w:p>
        </w:tc>
        <w:tc>
          <w:tcPr>
            <w:tcW w:w="985" w:type="pct"/>
            <w:tcBorders>
              <w:right w:val="double" w:sz="4" w:space="0" w:color="auto"/>
            </w:tcBorders>
          </w:tcPr>
          <w:p w14:paraId="761A92F8"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2F9" w14:textId="77777777" w:rsidR="003D1A8A" w:rsidRPr="00DE156B" w:rsidRDefault="003D1A8A" w:rsidP="00B637F1">
            <w:pPr>
              <w:pStyle w:val="Tabletext"/>
            </w:pPr>
            <w:r w:rsidRPr="00DE156B">
              <w:t>high</w:t>
            </w:r>
          </w:p>
        </w:tc>
      </w:tr>
      <w:tr w:rsidR="003D1A8A" w:rsidRPr="00DE156B" w14:paraId="761A9300" w14:textId="77777777" w:rsidTr="00173CC9">
        <w:tc>
          <w:tcPr>
            <w:tcW w:w="1104" w:type="pct"/>
          </w:tcPr>
          <w:p w14:paraId="761A92FB" w14:textId="77777777" w:rsidR="003D1A8A" w:rsidRPr="00DE156B" w:rsidRDefault="003D1A8A" w:rsidP="00B637F1">
            <w:pPr>
              <w:pStyle w:val="Tabletext"/>
            </w:pPr>
            <w:r w:rsidRPr="00DE156B">
              <w:t>glycopeptides</w:t>
            </w:r>
            <w:r w:rsidRPr="00DE156B">
              <w:rPr>
                <w:vertAlign w:val="superscript"/>
              </w:rPr>
              <w:t>#</w:t>
            </w:r>
          </w:p>
        </w:tc>
        <w:tc>
          <w:tcPr>
            <w:tcW w:w="897" w:type="pct"/>
          </w:tcPr>
          <w:p w14:paraId="761A92FC" w14:textId="77777777" w:rsidR="003D1A8A" w:rsidRPr="00DE156B" w:rsidRDefault="003D1A8A" w:rsidP="00B637F1">
            <w:pPr>
              <w:pStyle w:val="Tabletext"/>
            </w:pPr>
            <w:r w:rsidRPr="00DE156B">
              <w:t>vancomycin</w:t>
            </w:r>
          </w:p>
        </w:tc>
        <w:tc>
          <w:tcPr>
            <w:tcW w:w="885" w:type="pct"/>
          </w:tcPr>
          <w:p w14:paraId="761A92FD" w14:textId="77777777" w:rsidR="003D1A8A" w:rsidRPr="00DE156B" w:rsidRDefault="003D1A8A" w:rsidP="00B637F1">
            <w:pPr>
              <w:pStyle w:val="Tabletext"/>
            </w:pPr>
            <w:r w:rsidRPr="00DE156B">
              <w:t>none</w:t>
            </w:r>
          </w:p>
        </w:tc>
        <w:tc>
          <w:tcPr>
            <w:tcW w:w="985" w:type="pct"/>
            <w:tcBorders>
              <w:right w:val="double" w:sz="4" w:space="0" w:color="auto"/>
            </w:tcBorders>
          </w:tcPr>
          <w:p w14:paraId="761A92FE"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2FF" w14:textId="77777777" w:rsidR="003D1A8A" w:rsidRPr="00DE156B" w:rsidRDefault="003D1A8A" w:rsidP="00B637F1">
            <w:pPr>
              <w:pStyle w:val="Tabletext"/>
            </w:pPr>
            <w:r w:rsidRPr="00DE156B">
              <w:t>high</w:t>
            </w:r>
          </w:p>
        </w:tc>
      </w:tr>
      <w:tr w:rsidR="003D1A8A" w:rsidRPr="00DE156B" w14:paraId="761A9306" w14:textId="77777777" w:rsidTr="00173CC9">
        <w:tc>
          <w:tcPr>
            <w:tcW w:w="1104" w:type="pct"/>
          </w:tcPr>
          <w:p w14:paraId="761A9301" w14:textId="77777777" w:rsidR="003D1A8A" w:rsidRPr="00DE156B" w:rsidRDefault="003D1A8A" w:rsidP="00B637F1">
            <w:pPr>
              <w:pStyle w:val="Tabletext"/>
            </w:pPr>
            <w:proofErr w:type="spellStart"/>
            <w:r w:rsidRPr="00DE156B">
              <w:t>glycylcyclines</w:t>
            </w:r>
            <w:proofErr w:type="spellEnd"/>
          </w:p>
        </w:tc>
        <w:tc>
          <w:tcPr>
            <w:tcW w:w="897" w:type="pct"/>
          </w:tcPr>
          <w:p w14:paraId="761A9302" w14:textId="77777777" w:rsidR="003D1A8A" w:rsidRPr="00DE156B" w:rsidRDefault="003D1A8A" w:rsidP="00B637F1">
            <w:pPr>
              <w:pStyle w:val="Tabletext"/>
            </w:pPr>
            <w:proofErr w:type="spellStart"/>
            <w:r w:rsidRPr="00DE156B">
              <w:t>tigecycline</w:t>
            </w:r>
            <w:proofErr w:type="spellEnd"/>
          </w:p>
        </w:tc>
        <w:tc>
          <w:tcPr>
            <w:tcW w:w="885" w:type="pct"/>
          </w:tcPr>
          <w:p w14:paraId="761A9303" w14:textId="77777777" w:rsidR="003D1A8A" w:rsidRPr="00DE156B" w:rsidRDefault="003D1A8A" w:rsidP="00B637F1">
            <w:pPr>
              <w:pStyle w:val="Tabletext"/>
            </w:pPr>
            <w:r w:rsidRPr="00DE156B">
              <w:t>none</w:t>
            </w:r>
          </w:p>
        </w:tc>
        <w:tc>
          <w:tcPr>
            <w:tcW w:w="985" w:type="pct"/>
            <w:tcBorders>
              <w:right w:val="double" w:sz="4" w:space="0" w:color="auto"/>
            </w:tcBorders>
          </w:tcPr>
          <w:p w14:paraId="761A9304"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305" w14:textId="77777777" w:rsidR="003D1A8A" w:rsidRPr="00DE156B" w:rsidRDefault="003D1A8A" w:rsidP="00B637F1">
            <w:pPr>
              <w:pStyle w:val="Tabletext"/>
            </w:pPr>
            <w:r w:rsidRPr="00DE156B">
              <w:t>high</w:t>
            </w:r>
          </w:p>
        </w:tc>
      </w:tr>
      <w:tr w:rsidR="003D1A8A" w:rsidRPr="00DE156B" w14:paraId="761A930C" w14:textId="77777777" w:rsidTr="00173CC9">
        <w:tc>
          <w:tcPr>
            <w:tcW w:w="1104" w:type="pct"/>
            <w:shd w:val="clear" w:color="auto" w:fill="auto"/>
          </w:tcPr>
          <w:p w14:paraId="761A9307" w14:textId="77777777" w:rsidR="003D1A8A" w:rsidRPr="00DE156B" w:rsidRDefault="003D1A8A" w:rsidP="00B637F1">
            <w:pPr>
              <w:pStyle w:val="Tabletext"/>
            </w:pPr>
            <w:proofErr w:type="spellStart"/>
            <w:r w:rsidRPr="00DE156B">
              <w:t>lipopeptides</w:t>
            </w:r>
            <w:proofErr w:type="spellEnd"/>
          </w:p>
        </w:tc>
        <w:tc>
          <w:tcPr>
            <w:tcW w:w="897" w:type="pct"/>
            <w:shd w:val="clear" w:color="auto" w:fill="auto"/>
          </w:tcPr>
          <w:p w14:paraId="761A9308" w14:textId="77777777" w:rsidR="003D1A8A" w:rsidRPr="00DE156B" w:rsidRDefault="003D1A8A" w:rsidP="00B637F1">
            <w:pPr>
              <w:pStyle w:val="Tabletext"/>
            </w:pPr>
            <w:proofErr w:type="spellStart"/>
            <w:r w:rsidRPr="00DE156B">
              <w:t>daptomycin</w:t>
            </w:r>
            <w:proofErr w:type="spellEnd"/>
          </w:p>
        </w:tc>
        <w:tc>
          <w:tcPr>
            <w:tcW w:w="885" w:type="pct"/>
            <w:shd w:val="clear" w:color="auto" w:fill="auto"/>
          </w:tcPr>
          <w:p w14:paraId="761A9309" w14:textId="77777777" w:rsidR="003D1A8A" w:rsidRPr="00DE156B" w:rsidRDefault="003D1A8A" w:rsidP="00B637F1">
            <w:pPr>
              <w:pStyle w:val="Tabletext"/>
            </w:pPr>
            <w:r w:rsidRPr="00DE156B">
              <w:t>none</w:t>
            </w:r>
          </w:p>
        </w:tc>
        <w:tc>
          <w:tcPr>
            <w:tcW w:w="985" w:type="pct"/>
            <w:tcBorders>
              <w:right w:val="double" w:sz="4" w:space="0" w:color="auto"/>
            </w:tcBorders>
            <w:shd w:val="clear" w:color="auto" w:fill="auto"/>
          </w:tcPr>
          <w:p w14:paraId="761A930A" w14:textId="77777777" w:rsidR="003D1A8A" w:rsidRPr="00DE156B" w:rsidRDefault="003D1A8A" w:rsidP="00B637F1">
            <w:pPr>
              <w:pStyle w:val="Tabletext"/>
            </w:pPr>
            <w:r w:rsidRPr="00DE156B">
              <w:t>critically important</w:t>
            </w:r>
          </w:p>
        </w:tc>
        <w:tc>
          <w:tcPr>
            <w:tcW w:w="1129" w:type="pct"/>
            <w:tcBorders>
              <w:left w:val="double" w:sz="4" w:space="0" w:color="auto"/>
            </w:tcBorders>
            <w:shd w:val="clear" w:color="auto" w:fill="auto"/>
          </w:tcPr>
          <w:p w14:paraId="761A930B" w14:textId="77777777" w:rsidR="003D1A8A" w:rsidRPr="00DE156B" w:rsidRDefault="003D1A8A" w:rsidP="00B637F1">
            <w:pPr>
              <w:pStyle w:val="Tabletext"/>
            </w:pPr>
            <w:r w:rsidRPr="00DE156B">
              <w:t>high</w:t>
            </w:r>
          </w:p>
        </w:tc>
      </w:tr>
      <w:tr w:rsidR="003D1A8A" w:rsidRPr="00DE156B" w14:paraId="761A9312" w14:textId="77777777" w:rsidTr="00173CC9">
        <w:tc>
          <w:tcPr>
            <w:tcW w:w="1104" w:type="pct"/>
            <w:shd w:val="clear" w:color="auto" w:fill="F2F2F2" w:themeFill="background1" w:themeFillShade="F2"/>
          </w:tcPr>
          <w:p w14:paraId="761A930D" w14:textId="77777777" w:rsidR="003D1A8A" w:rsidRPr="00DE156B" w:rsidRDefault="003D1A8A" w:rsidP="00B637F1">
            <w:pPr>
              <w:pStyle w:val="Tabletext"/>
            </w:pPr>
            <w:r w:rsidRPr="00DE156B">
              <w:t xml:space="preserve">macrolides / </w:t>
            </w:r>
            <w:proofErr w:type="spellStart"/>
            <w:r w:rsidRPr="00DE156B">
              <w:t>ketolides</w:t>
            </w:r>
            <w:proofErr w:type="spellEnd"/>
            <w:r w:rsidRPr="00DE156B">
              <w:rPr>
                <w:vertAlign w:val="superscript"/>
              </w:rPr>
              <w:t>#</w:t>
            </w:r>
          </w:p>
        </w:tc>
        <w:tc>
          <w:tcPr>
            <w:tcW w:w="897" w:type="pct"/>
            <w:shd w:val="clear" w:color="auto" w:fill="F2F2F2" w:themeFill="background1" w:themeFillShade="F2"/>
          </w:tcPr>
          <w:p w14:paraId="761A930E" w14:textId="77777777" w:rsidR="003D1A8A" w:rsidRPr="00DE156B" w:rsidRDefault="003D1A8A" w:rsidP="00B637F1">
            <w:pPr>
              <w:pStyle w:val="Tabletext"/>
            </w:pPr>
            <w:r w:rsidRPr="00DE156B">
              <w:t>erythromycin</w:t>
            </w:r>
          </w:p>
        </w:tc>
        <w:tc>
          <w:tcPr>
            <w:tcW w:w="885" w:type="pct"/>
            <w:shd w:val="clear" w:color="auto" w:fill="F2F2F2" w:themeFill="background1" w:themeFillShade="F2"/>
          </w:tcPr>
          <w:p w14:paraId="761A930F" w14:textId="77777777" w:rsidR="003D1A8A" w:rsidRPr="00DE156B" w:rsidRDefault="003D1A8A" w:rsidP="00B637F1">
            <w:pPr>
              <w:pStyle w:val="Tabletext"/>
            </w:pPr>
            <w:proofErr w:type="spellStart"/>
            <w:r w:rsidRPr="00DE156B">
              <w:t>tylosin</w:t>
            </w:r>
            <w:proofErr w:type="spellEnd"/>
          </w:p>
        </w:tc>
        <w:tc>
          <w:tcPr>
            <w:tcW w:w="985" w:type="pct"/>
            <w:tcBorders>
              <w:right w:val="double" w:sz="4" w:space="0" w:color="auto"/>
            </w:tcBorders>
            <w:shd w:val="clear" w:color="auto" w:fill="F2F2F2" w:themeFill="background1" w:themeFillShade="F2"/>
          </w:tcPr>
          <w:p w14:paraId="761A9310" w14:textId="77777777" w:rsidR="003D1A8A" w:rsidRPr="00DE156B" w:rsidRDefault="003D1A8A" w:rsidP="00B637F1">
            <w:pPr>
              <w:pStyle w:val="Tabletext"/>
            </w:pPr>
            <w:r w:rsidRPr="00DE156B">
              <w:t>critically important</w:t>
            </w:r>
          </w:p>
        </w:tc>
        <w:tc>
          <w:tcPr>
            <w:tcW w:w="1129" w:type="pct"/>
            <w:tcBorders>
              <w:left w:val="double" w:sz="4" w:space="0" w:color="auto"/>
            </w:tcBorders>
            <w:shd w:val="clear" w:color="auto" w:fill="F2F2F2" w:themeFill="background1" w:themeFillShade="F2"/>
          </w:tcPr>
          <w:p w14:paraId="761A9311" w14:textId="77777777" w:rsidR="003D1A8A" w:rsidRPr="00DE156B" w:rsidRDefault="003D1A8A" w:rsidP="00B637F1">
            <w:pPr>
              <w:pStyle w:val="Tabletext"/>
            </w:pPr>
            <w:r w:rsidRPr="00DE156B">
              <w:t>low^</w:t>
            </w:r>
          </w:p>
        </w:tc>
      </w:tr>
      <w:tr w:rsidR="003D1A8A" w:rsidRPr="00DE156B" w14:paraId="761A9318" w14:textId="77777777" w:rsidTr="00173CC9">
        <w:tc>
          <w:tcPr>
            <w:tcW w:w="1104" w:type="pct"/>
            <w:shd w:val="clear" w:color="auto" w:fill="auto"/>
          </w:tcPr>
          <w:p w14:paraId="761A9313" w14:textId="77777777" w:rsidR="003D1A8A" w:rsidRPr="00DE156B" w:rsidRDefault="003D1A8A" w:rsidP="00B637F1">
            <w:pPr>
              <w:pStyle w:val="Tabletext"/>
            </w:pPr>
            <w:proofErr w:type="spellStart"/>
            <w:r w:rsidRPr="00DE156B">
              <w:t>monobactams</w:t>
            </w:r>
            <w:proofErr w:type="spellEnd"/>
          </w:p>
        </w:tc>
        <w:tc>
          <w:tcPr>
            <w:tcW w:w="897" w:type="pct"/>
            <w:shd w:val="clear" w:color="auto" w:fill="auto"/>
          </w:tcPr>
          <w:p w14:paraId="761A9314" w14:textId="77777777" w:rsidR="003D1A8A" w:rsidRPr="00DE156B" w:rsidRDefault="003D1A8A" w:rsidP="00B637F1">
            <w:pPr>
              <w:pStyle w:val="Tabletext"/>
            </w:pPr>
            <w:proofErr w:type="spellStart"/>
            <w:r w:rsidRPr="00DE156B">
              <w:t>aztreonam</w:t>
            </w:r>
            <w:proofErr w:type="spellEnd"/>
          </w:p>
        </w:tc>
        <w:tc>
          <w:tcPr>
            <w:tcW w:w="885" w:type="pct"/>
            <w:shd w:val="clear" w:color="auto" w:fill="auto"/>
          </w:tcPr>
          <w:p w14:paraId="761A9315" w14:textId="77777777" w:rsidR="003D1A8A" w:rsidRPr="00DE156B" w:rsidRDefault="003D1A8A" w:rsidP="00B637F1">
            <w:pPr>
              <w:pStyle w:val="Tabletext"/>
            </w:pPr>
            <w:r w:rsidRPr="00DE156B">
              <w:t>none</w:t>
            </w:r>
          </w:p>
        </w:tc>
        <w:tc>
          <w:tcPr>
            <w:tcW w:w="985" w:type="pct"/>
            <w:tcBorders>
              <w:right w:val="double" w:sz="4" w:space="0" w:color="auto"/>
            </w:tcBorders>
            <w:shd w:val="clear" w:color="auto" w:fill="auto"/>
          </w:tcPr>
          <w:p w14:paraId="761A9316" w14:textId="77777777" w:rsidR="003D1A8A" w:rsidRPr="00DE156B" w:rsidRDefault="003D1A8A" w:rsidP="00B637F1">
            <w:pPr>
              <w:pStyle w:val="Tabletext"/>
            </w:pPr>
            <w:r w:rsidRPr="00DE156B">
              <w:t>critically important</w:t>
            </w:r>
          </w:p>
        </w:tc>
        <w:tc>
          <w:tcPr>
            <w:tcW w:w="1129" w:type="pct"/>
            <w:tcBorders>
              <w:left w:val="double" w:sz="4" w:space="0" w:color="auto"/>
            </w:tcBorders>
            <w:shd w:val="clear" w:color="auto" w:fill="auto"/>
          </w:tcPr>
          <w:p w14:paraId="761A9317" w14:textId="77777777" w:rsidR="003D1A8A" w:rsidRPr="00DE156B" w:rsidRDefault="003D1A8A" w:rsidP="00B637F1">
            <w:pPr>
              <w:pStyle w:val="Tabletext"/>
            </w:pPr>
            <w:r w:rsidRPr="00DE156B">
              <w:t>high</w:t>
            </w:r>
          </w:p>
        </w:tc>
      </w:tr>
      <w:tr w:rsidR="003D1A8A" w:rsidRPr="00DE156B" w14:paraId="761A931E" w14:textId="77777777" w:rsidTr="00173CC9">
        <w:tc>
          <w:tcPr>
            <w:tcW w:w="1104" w:type="pct"/>
            <w:shd w:val="clear" w:color="auto" w:fill="auto"/>
          </w:tcPr>
          <w:p w14:paraId="761A9319" w14:textId="77777777" w:rsidR="003D1A8A" w:rsidRPr="00DE156B" w:rsidRDefault="003D1A8A" w:rsidP="00B637F1">
            <w:pPr>
              <w:pStyle w:val="Tabletext"/>
            </w:pPr>
            <w:proofErr w:type="spellStart"/>
            <w:r w:rsidRPr="00DE156B">
              <w:t>oxazolidinones</w:t>
            </w:r>
            <w:proofErr w:type="spellEnd"/>
          </w:p>
        </w:tc>
        <w:tc>
          <w:tcPr>
            <w:tcW w:w="897" w:type="pct"/>
            <w:shd w:val="clear" w:color="auto" w:fill="auto"/>
          </w:tcPr>
          <w:p w14:paraId="761A931A" w14:textId="77777777" w:rsidR="003D1A8A" w:rsidRPr="00DE156B" w:rsidRDefault="003D1A8A" w:rsidP="00B637F1">
            <w:pPr>
              <w:pStyle w:val="Tabletext"/>
            </w:pPr>
            <w:r w:rsidRPr="00DE156B">
              <w:t>linezolid</w:t>
            </w:r>
          </w:p>
        </w:tc>
        <w:tc>
          <w:tcPr>
            <w:tcW w:w="885" w:type="pct"/>
            <w:shd w:val="clear" w:color="auto" w:fill="auto"/>
          </w:tcPr>
          <w:p w14:paraId="761A931B" w14:textId="77777777" w:rsidR="003D1A8A" w:rsidRPr="00DE156B" w:rsidRDefault="003D1A8A" w:rsidP="00B637F1">
            <w:pPr>
              <w:pStyle w:val="Tabletext"/>
            </w:pPr>
            <w:r w:rsidRPr="00DE156B">
              <w:t>none</w:t>
            </w:r>
          </w:p>
        </w:tc>
        <w:tc>
          <w:tcPr>
            <w:tcW w:w="985" w:type="pct"/>
            <w:tcBorders>
              <w:right w:val="double" w:sz="4" w:space="0" w:color="auto"/>
            </w:tcBorders>
            <w:shd w:val="clear" w:color="auto" w:fill="auto"/>
          </w:tcPr>
          <w:p w14:paraId="761A931C" w14:textId="77777777" w:rsidR="003D1A8A" w:rsidRPr="00DE156B" w:rsidRDefault="003D1A8A" w:rsidP="00B637F1">
            <w:pPr>
              <w:pStyle w:val="Tabletext"/>
            </w:pPr>
            <w:r w:rsidRPr="00DE156B">
              <w:t>critically important</w:t>
            </w:r>
          </w:p>
        </w:tc>
        <w:tc>
          <w:tcPr>
            <w:tcW w:w="1129" w:type="pct"/>
            <w:tcBorders>
              <w:left w:val="double" w:sz="4" w:space="0" w:color="auto"/>
            </w:tcBorders>
            <w:shd w:val="clear" w:color="auto" w:fill="auto"/>
          </w:tcPr>
          <w:p w14:paraId="761A931D" w14:textId="77777777" w:rsidR="003D1A8A" w:rsidRPr="00DE156B" w:rsidRDefault="003D1A8A" w:rsidP="00B637F1">
            <w:pPr>
              <w:pStyle w:val="Tabletext"/>
            </w:pPr>
            <w:r w:rsidRPr="00DE156B">
              <w:t>high</w:t>
            </w:r>
          </w:p>
        </w:tc>
      </w:tr>
      <w:tr w:rsidR="003D1A8A" w:rsidRPr="00DE156B" w14:paraId="761A9324" w14:textId="77777777" w:rsidTr="00173CC9">
        <w:tc>
          <w:tcPr>
            <w:tcW w:w="1104" w:type="pct"/>
            <w:shd w:val="clear" w:color="auto" w:fill="F2F2F2" w:themeFill="background1" w:themeFillShade="F2"/>
          </w:tcPr>
          <w:p w14:paraId="761A931F" w14:textId="77777777" w:rsidR="003D1A8A" w:rsidRPr="00DE156B" w:rsidRDefault="003D1A8A" w:rsidP="00B637F1">
            <w:pPr>
              <w:pStyle w:val="Tabletext"/>
            </w:pPr>
            <w:r w:rsidRPr="00DE156B">
              <w:t xml:space="preserve">penicillins (natural, </w:t>
            </w:r>
            <w:proofErr w:type="spellStart"/>
            <w:r w:rsidRPr="00DE156B">
              <w:t>aminopenicillins</w:t>
            </w:r>
            <w:proofErr w:type="spellEnd"/>
            <w:r w:rsidRPr="00DE156B">
              <w:t>, antipseudomonal)</w:t>
            </w:r>
          </w:p>
        </w:tc>
        <w:tc>
          <w:tcPr>
            <w:tcW w:w="897" w:type="pct"/>
            <w:shd w:val="clear" w:color="auto" w:fill="F2F2F2" w:themeFill="background1" w:themeFillShade="F2"/>
          </w:tcPr>
          <w:p w14:paraId="761A9320" w14:textId="77777777" w:rsidR="003D1A8A" w:rsidRPr="00DE156B" w:rsidRDefault="003D1A8A" w:rsidP="00B637F1">
            <w:pPr>
              <w:pStyle w:val="Tabletext"/>
            </w:pPr>
            <w:r w:rsidRPr="00DE156B">
              <w:t>ampicillin</w:t>
            </w:r>
          </w:p>
        </w:tc>
        <w:tc>
          <w:tcPr>
            <w:tcW w:w="885" w:type="pct"/>
            <w:shd w:val="clear" w:color="auto" w:fill="F2F2F2" w:themeFill="background1" w:themeFillShade="F2"/>
          </w:tcPr>
          <w:p w14:paraId="761A9321" w14:textId="77777777" w:rsidR="003D1A8A" w:rsidRPr="00DE156B" w:rsidRDefault="003D1A8A" w:rsidP="00B637F1">
            <w:pPr>
              <w:pStyle w:val="Tabletext"/>
            </w:pPr>
            <w:r w:rsidRPr="00DE156B">
              <w:t>amoxicillin</w:t>
            </w:r>
          </w:p>
        </w:tc>
        <w:tc>
          <w:tcPr>
            <w:tcW w:w="985" w:type="pct"/>
            <w:tcBorders>
              <w:right w:val="double" w:sz="4" w:space="0" w:color="auto"/>
            </w:tcBorders>
            <w:shd w:val="clear" w:color="auto" w:fill="F2F2F2" w:themeFill="background1" w:themeFillShade="F2"/>
          </w:tcPr>
          <w:p w14:paraId="761A9322" w14:textId="77777777" w:rsidR="003D1A8A" w:rsidRPr="00DE156B" w:rsidRDefault="003D1A8A" w:rsidP="00B637F1">
            <w:pPr>
              <w:pStyle w:val="Tabletext"/>
              <w:rPr>
                <w:b/>
              </w:rPr>
            </w:pPr>
            <w:r w:rsidRPr="00DE156B">
              <w:t>critically important</w:t>
            </w:r>
          </w:p>
        </w:tc>
        <w:tc>
          <w:tcPr>
            <w:tcW w:w="1129" w:type="pct"/>
            <w:tcBorders>
              <w:left w:val="double" w:sz="4" w:space="0" w:color="auto"/>
            </w:tcBorders>
            <w:shd w:val="clear" w:color="auto" w:fill="F2F2F2" w:themeFill="background1" w:themeFillShade="F2"/>
          </w:tcPr>
          <w:p w14:paraId="761A9323" w14:textId="77777777" w:rsidR="003D1A8A" w:rsidRPr="00DE156B" w:rsidRDefault="003D1A8A" w:rsidP="00B637F1">
            <w:pPr>
              <w:pStyle w:val="Tabletext"/>
            </w:pPr>
            <w:r w:rsidRPr="00DE156B">
              <w:t>low^</w:t>
            </w:r>
          </w:p>
        </w:tc>
      </w:tr>
      <w:tr w:rsidR="003D1A8A" w:rsidRPr="00DE156B" w14:paraId="761A932A" w14:textId="77777777" w:rsidTr="00173CC9">
        <w:tc>
          <w:tcPr>
            <w:tcW w:w="1104" w:type="pct"/>
            <w:shd w:val="clear" w:color="auto" w:fill="auto"/>
          </w:tcPr>
          <w:p w14:paraId="761A9325" w14:textId="77777777" w:rsidR="003D1A8A" w:rsidRPr="00DE156B" w:rsidRDefault="003D1A8A" w:rsidP="00B637F1">
            <w:pPr>
              <w:pStyle w:val="Tabletext"/>
            </w:pPr>
            <w:r w:rsidRPr="00DE156B">
              <w:t>phosphonates (</w:t>
            </w:r>
            <w:proofErr w:type="spellStart"/>
            <w:r w:rsidRPr="00DE156B">
              <w:t>fosfomycins</w:t>
            </w:r>
            <w:proofErr w:type="spellEnd"/>
            <w:r w:rsidRPr="00DE156B">
              <w:t>)</w:t>
            </w:r>
          </w:p>
        </w:tc>
        <w:tc>
          <w:tcPr>
            <w:tcW w:w="897" w:type="pct"/>
            <w:shd w:val="clear" w:color="auto" w:fill="auto"/>
          </w:tcPr>
          <w:p w14:paraId="761A9326" w14:textId="77777777" w:rsidR="003D1A8A" w:rsidRPr="00DE156B" w:rsidRDefault="003D1A8A" w:rsidP="00B637F1">
            <w:pPr>
              <w:pStyle w:val="Tabletext"/>
            </w:pPr>
            <w:proofErr w:type="spellStart"/>
            <w:r w:rsidRPr="00DE156B">
              <w:t>fosfomycin</w:t>
            </w:r>
            <w:proofErr w:type="spellEnd"/>
          </w:p>
        </w:tc>
        <w:tc>
          <w:tcPr>
            <w:tcW w:w="885" w:type="pct"/>
            <w:shd w:val="clear" w:color="auto" w:fill="auto"/>
          </w:tcPr>
          <w:p w14:paraId="761A9327" w14:textId="77777777" w:rsidR="003D1A8A" w:rsidRPr="00DE156B" w:rsidRDefault="003D1A8A" w:rsidP="00B637F1">
            <w:pPr>
              <w:pStyle w:val="Tabletext"/>
            </w:pPr>
            <w:r w:rsidRPr="00DE156B">
              <w:t>none</w:t>
            </w:r>
          </w:p>
        </w:tc>
        <w:tc>
          <w:tcPr>
            <w:tcW w:w="985" w:type="pct"/>
            <w:tcBorders>
              <w:right w:val="double" w:sz="4" w:space="0" w:color="auto"/>
            </w:tcBorders>
            <w:shd w:val="clear" w:color="auto" w:fill="auto"/>
          </w:tcPr>
          <w:p w14:paraId="761A9328" w14:textId="77777777" w:rsidR="003D1A8A" w:rsidRPr="00DE156B" w:rsidRDefault="003D1A8A" w:rsidP="00B637F1">
            <w:pPr>
              <w:pStyle w:val="Tabletext"/>
            </w:pPr>
            <w:r w:rsidRPr="00DE156B">
              <w:t>critically important</w:t>
            </w:r>
          </w:p>
        </w:tc>
        <w:tc>
          <w:tcPr>
            <w:tcW w:w="1129" w:type="pct"/>
            <w:tcBorders>
              <w:left w:val="double" w:sz="4" w:space="0" w:color="auto"/>
            </w:tcBorders>
            <w:shd w:val="clear" w:color="auto" w:fill="auto"/>
          </w:tcPr>
          <w:p w14:paraId="761A9329" w14:textId="77777777" w:rsidR="003D1A8A" w:rsidRPr="00DE156B" w:rsidRDefault="003D1A8A" w:rsidP="00B637F1">
            <w:pPr>
              <w:pStyle w:val="Tabletext"/>
            </w:pPr>
            <w:r w:rsidRPr="00DE156B">
              <w:t>high</w:t>
            </w:r>
          </w:p>
        </w:tc>
      </w:tr>
      <w:tr w:rsidR="003D1A8A" w:rsidRPr="00DE156B" w14:paraId="761A9330" w14:textId="77777777" w:rsidTr="00173CC9">
        <w:tc>
          <w:tcPr>
            <w:tcW w:w="1104" w:type="pct"/>
          </w:tcPr>
          <w:p w14:paraId="761A932B" w14:textId="77777777" w:rsidR="003D1A8A" w:rsidRPr="00DE156B" w:rsidRDefault="003D1A8A" w:rsidP="00B637F1">
            <w:pPr>
              <w:pStyle w:val="Tabletext"/>
            </w:pPr>
            <w:proofErr w:type="spellStart"/>
            <w:r w:rsidRPr="00DE156B">
              <w:t>polymyxins</w:t>
            </w:r>
            <w:proofErr w:type="spellEnd"/>
            <w:r w:rsidRPr="00DE156B">
              <w:rPr>
                <w:vertAlign w:val="superscript"/>
              </w:rPr>
              <w:t>#</w:t>
            </w:r>
          </w:p>
        </w:tc>
        <w:tc>
          <w:tcPr>
            <w:tcW w:w="897" w:type="pct"/>
          </w:tcPr>
          <w:p w14:paraId="761A932C" w14:textId="77777777" w:rsidR="003D1A8A" w:rsidRPr="00DE156B" w:rsidRDefault="003D1A8A" w:rsidP="00B637F1">
            <w:pPr>
              <w:pStyle w:val="Tabletext"/>
            </w:pPr>
            <w:proofErr w:type="spellStart"/>
            <w:r w:rsidRPr="00DE156B">
              <w:t>colistin</w:t>
            </w:r>
            <w:proofErr w:type="spellEnd"/>
          </w:p>
        </w:tc>
        <w:tc>
          <w:tcPr>
            <w:tcW w:w="885" w:type="pct"/>
          </w:tcPr>
          <w:p w14:paraId="761A932D" w14:textId="77777777" w:rsidR="003D1A8A" w:rsidRPr="00DE156B" w:rsidRDefault="003D1A8A" w:rsidP="00B637F1">
            <w:pPr>
              <w:pStyle w:val="Tabletext"/>
            </w:pPr>
            <w:proofErr w:type="spellStart"/>
            <w:r w:rsidRPr="00DE156B">
              <w:t>polymyxin</w:t>
            </w:r>
            <w:proofErr w:type="spellEnd"/>
            <w:r w:rsidRPr="00DE156B">
              <w:t xml:space="preserve"> B</w:t>
            </w:r>
          </w:p>
        </w:tc>
        <w:tc>
          <w:tcPr>
            <w:tcW w:w="985" w:type="pct"/>
            <w:tcBorders>
              <w:right w:val="double" w:sz="4" w:space="0" w:color="auto"/>
            </w:tcBorders>
          </w:tcPr>
          <w:p w14:paraId="761A932E"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32F" w14:textId="77777777" w:rsidR="003D1A8A" w:rsidRPr="00DE156B" w:rsidRDefault="003D1A8A" w:rsidP="00B637F1">
            <w:pPr>
              <w:pStyle w:val="Tabletext"/>
            </w:pPr>
            <w:r w:rsidRPr="00DE156B">
              <w:t>high</w:t>
            </w:r>
          </w:p>
        </w:tc>
      </w:tr>
      <w:tr w:rsidR="003D1A8A" w:rsidRPr="00DE156B" w14:paraId="761A9336" w14:textId="77777777" w:rsidTr="00173CC9">
        <w:tc>
          <w:tcPr>
            <w:tcW w:w="1104" w:type="pct"/>
          </w:tcPr>
          <w:p w14:paraId="761A9331" w14:textId="77777777" w:rsidR="003D1A8A" w:rsidRPr="00DE156B" w:rsidRDefault="003D1A8A" w:rsidP="00B637F1">
            <w:pPr>
              <w:pStyle w:val="Tabletext"/>
            </w:pPr>
            <w:r w:rsidRPr="00DE156B">
              <w:t>quinolones</w:t>
            </w:r>
            <w:r w:rsidRPr="00DE156B">
              <w:rPr>
                <w:vertAlign w:val="superscript"/>
              </w:rPr>
              <w:t>#</w:t>
            </w:r>
          </w:p>
        </w:tc>
        <w:tc>
          <w:tcPr>
            <w:tcW w:w="897" w:type="pct"/>
          </w:tcPr>
          <w:p w14:paraId="761A9332" w14:textId="77777777" w:rsidR="003D1A8A" w:rsidRPr="00DE156B" w:rsidRDefault="003D1A8A" w:rsidP="00B637F1">
            <w:pPr>
              <w:pStyle w:val="Tabletext"/>
            </w:pPr>
            <w:r w:rsidRPr="00DE156B">
              <w:t>ciprofloxacin</w:t>
            </w:r>
          </w:p>
        </w:tc>
        <w:tc>
          <w:tcPr>
            <w:tcW w:w="885" w:type="pct"/>
          </w:tcPr>
          <w:p w14:paraId="761A9333" w14:textId="77777777" w:rsidR="003D1A8A" w:rsidRPr="00DE156B" w:rsidRDefault="003D1A8A" w:rsidP="00B637F1">
            <w:pPr>
              <w:pStyle w:val="Tabletext"/>
            </w:pPr>
            <w:r w:rsidRPr="00DE156B">
              <w:t>none</w:t>
            </w:r>
          </w:p>
        </w:tc>
        <w:tc>
          <w:tcPr>
            <w:tcW w:w="985" w:type="pct"/>
            <w:tcBorders>
              <w:right w:val="double" w:sz="4" w:space="0" w:color="auto"/>
            </w:tcBorders>
          </w:tcPr>
          <w:p w14:paraId="761A9334"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335" w14:textId="77777777" w:rsidR="003D1A8A" w:rsidRPr="00DE156B" w:rsidRDefault="003D1A8A" w:rsidP="00B637F1">
            <w:pPr>
              <w:pStyle w:val="Tabletext"/>
            </w:pPr>
            <w:r w:rsidRPr="00DE156B">
              <w:t>high</w:t>
            </w:r>
          </w:p>
        </w:tc>
      </w:tr>
      <w:tr w:rsidR="003D1A8A" w:rsidRPr="00DE156B" w14:paraId="761A933C" w14:textId="77777777" w:rsidTr="00173CC9">
        <w:tc>
          <w:tcPr>
            <w:tcW w:w="1104" w:type="pct"/>
          </w:tcPr>
          <w:p w14:paraId="761A9337" w14:textId="77777777" w:rsidR="003D1A8A" w:rsidRPr="00DE156B" w:rsidRDefault="003D1A8A" w:rsidP="00B637F1">
            <w:pPr>
              <w:pStyle w:val="Tabletext"/>
            </w:pPr>
            <w:proofErr w:type="spellStart"/>
            <w:r w:rsidRPr="00DE156B">
              <w:t>mycobacterials</w:t>
            </w:r>
            <w:proofErr w:type="spellEnd"/>
          </w:p>
        </w:tc>
        <w:tc>
          <w:tcPr>
            <w:tcW w:w="897" w:type="pct"/>
          </w:tcPr>
          <w:p w14:paraId="761A9338" w14:textId="77777777" w:rsidR="003D1A8A" w:rsidRPr="00DE156B" w:rsidRDefault="003D1A8A" w:rsidP="00B637F1">
            <w:pPr>
              <w:pStyle w:val="Tabletext"/>
            </w:pPr>
            <w:r w:rsidRPr="00DE156B">
              <w:t>isoniazid</w:t>
            </w:r>
          </w:p>
        </w:tc>
        <w:tc>
          <w:tcPr>
            <w:tcW w:w="885" w:type="pct"/>
          </w:tcPr>
          <w:p w14:paraId="761A9339" w14:textId="77777777" w:rsidR="003D1A8A" w:rsidRPr="00DE156B" w:rsidRDefault="003D1A8A" w:rsidP="00B637F1">
            <w:pPr>
              <w:pStyle w:val="Tabletext"/>
            </w:pPr>
            <w:r w:rsidRPr="00DE156B">
              <w:t>none</w:t>
            </w:r>
          </w:p>
        </w:tc>
        <w:tc>
          <w:tcPr>
            <w:tcW w:w="985" w:type="pct"/>
            <w:tcBorders>
              <w:right w:val="double" w:sz="4" w:space="0" w:color="auto"/>
            </w:tcBorders>
          </w:tcPr>
          <w:p w14:paraId="761A933A" w14:textId="77777777" w:rsidR="003D1A8A" w:rsidRPr="00DE156B" w:rsidRDefault="003D1A8A" w:rsidP="00B637F1">
            <w:pPr>
              <w:pStyle w:val="Tabletext"/>
            </w:pPr>
            <w:r w:rsidRPr="00DE156B">
              <w:t>critically important</w:t>
            </w:r>
          </w:p>
        </w:tc>
        <w:tc>
          <w:tcPr>
            <w:tcW w:w="1129" w:type="pct"/>
            <w:tcBorders>
              <w:left w:val="double" w:sz="4" w:space="0" w:color="auto"/>
            </w:tcBorders>
          </w:tcPr>
          <w:p w14:paraId="761A933B" w14:textId="77777777" w:rsidR="003D1A8A" w:rsidRPr="00DE156B" w:rsidRDefault="003D1A8A" w:rsidP="00B637F1">
            <w:pPr>
              <w:pStyle w:val="Tabletext"/>
            </w:pPr>
            <w:r w:rsidRPr="00DE156B">
              <w:t>high</w:t>
            </w:r>
          </w:p>
        </w:tc>
      </w:tr>
      <w:tr w:rsidR="003D1A8A" w:rsidRPr="00DE156B" w14:paraId="761A9342" w14:textId="77777777" w:rsidTr="00173CC9">
        <w:tc>
          <w:tcPr>
            <w:tcW w:w="1104" w:type="pct"/>
          </w:tcPr>
          <w:p w14:paraId="761A933D" w14:textId="77777777" w:rsidR="003D1A8A" w:rsidRPr="00DE156B" w:rsidRDefault="003D1A8A" w:rsidP="00B637F1">
            <w:pPr>
              <w:pStyle w:val="Tabletext"/>
            </w:pPr>
            <w:r w:rsidRPr="00DE156B">
              <w:t xml:space="preserve">steroid </w:t>
            </w:r>
            <w:proofErr w:type="spellStart"/>
            <w:r w:rsidRPr="00DE156B">
              <w:t>antibacterials</w:t>
            </w:r>
            <w:proofErr w:type="spellEnd"/>
            <w:r w:rsidRPr="00DE156B">
              <w:t xml:space="preserve"> (</w:t>
            </w:r>
            <w:proofErr w:type="spellStart"/>
            <w:r w:rsidRPr="00DE156B">
              <w:t>fusidanes</w:t>
            </w:r>
            <w:proofErr w:type="spellEnd"/>
            <w:r w:rsidRPr="00DE156B">
              <w:t>)</w:t>
            </w:r>
          </w:p>
        </w:tc>
        <w:tc>
          <w:tcPr>
            <w:tcW w:w="897" w:type="pct"/>
          </w:tcPr>
          <w:p w14:paraId="761A933E" w14:textId="77777777" w:rsidR="003D1A8A" w:rsidRPr="00DE156B" w:rsidRDefault="003D1A8A" w:rsidP="00B637F1">
            <w:pPr>
              <w:pStyle w:val="Tabletext"/>
            </w:pPr>
            <w:proofErr w:type="spellStart"/>
            <w:r w:rsidRPr="00DE156B">
              <w:t>fusidic</w:t>
            </w:r>
            <w:proofErr w:type="spellEnd"/>
            <w:r w:rsidRPr="00DE156B">
              <w:t xml:space="preserve"> acid</w:t>
            </w:r>
          </w:p>
        </w:tc>
        <w:tc>
          <w:tcPr>
            <w:tcW w:w="885" w:type="pct"/>
          </w:tcPr>
          <w:p w14:paraId="761A933F" w14:textId="77777777" w:rsidR="003D1A8A" w:rsidRPr="00DE156B" w:rsidRDefault="003D1A8A" w:rsidP="00B637F1">
            <w:pPr>
              <w:pStyle w:val="Tabletext"/>
            </w:pPr>
            <w:r w:rsidRPr="00DE156B">
              <w:t>none</w:t>
            </w:r>
          </w:p>
        </w:tc>
        <w:tc>
          <w:tcPr>
            <w:tcW w:w="985" w:type="pct"/>
            <w:tcBorders>
              <w:right w:val="double" w:sz="4" w:space="0" w:color="auto"/>
            </w:tcBorders>
          </w:tcPr>
          <w:p w14:paraId="761A9340" w14:textId="77777777" w:rsidR="003D1A8A" w:rsidRPr="00DE156B" w:rsidRDefault="003D1A8A" w:rsidP="00B637F1">
            <w:pPr>
              <w:pStyle w:val="Tabletext"/>
            </w:pPr>
            <w:r w:rsidRPr="00DE156B">
              <w:t>highly important</w:t>
            </w:r>
          </w:p>
        </w:tc>
        <w:tc>
          <w:tcPr>
            <w:tcW w:w="1129" w:type="pct"/>
            <w:tcBorders>
              <w:left w:val="double" w:sz="4" w:space="0" w:color="auto"/>
            </w:tcBorders>
          </w:tcPr>
          <w:p w14:paraId="761A9341" w14:textId="77777777" w:rsidR="003D1A8A" w:rsidRPr="00DE156B" w:rsidRDefault="003D1A8A" w:rsidP="00B637F1">
            <w:pPr>
              <w:pStyle w:val="Tabletext"/>
            </w:pPr>
            <w:r w:rsidRPr="00DE156B">
              <w:t>high</w:t>
            </w:r>
          </w:p>
        </w:tc>
      </w:tr>
      <w:tr w:rsidR="003D1A8A" w:rsidRPr="00DE156B" w14:paraId="761A9348" w14:textId="77777777" w:rsidTr="00173CC9">
        <w:tc>
          <w:tcPr>
            <w:tcW w:w="1104" w:type="pct"/>
          </w:tcPr>
          <w:p w14:paraId="761A9343" w14:textId="77777777" w:rsidR="003D1A8A" w:rsidRPr="00DE156B" w:rsidRDefault="003D1A8A" w:rsidP="00B637F1">
            <w:pPr>
              <w:pStyle w:val="Tabletext"/>
            </w:pPr>
            <w:proofErr w:type="spellStart"/>
            <w:r w:rsidRPr="00DE156B">
              <w:t>streptogramins</w:t>
            </w:r>
            <w:proofErr w:type="spellEnd"/>
          </w:p>
        </w:tc>
        <w:tc>
          <w:tcPr>
            <w:tcW w:w="897" w:type="pct"/>
          </w:tcPr>
          <w:p w14:paraId="761A9344" w14:textId="77777777" w:rsidR="003D1A8A" w:rsidRPr="00DE156B" w:rsidRDefault="003D1A8A" w:rsidP="00B637F1">
            <w:pPr>
              <w:pStyle w:val="Tabletext"/>
            </w:pPr>
            <w:proofErr w:type="spellStart"/>
            <w:r w:rsidRPr="00DE156B">
              <w:t>quinupristin</w:t>
            </w:r>
            <w:proofErr w:type="spellEnd"/>
            <w:r w:rsidRPr="00DE156B">
              <w:t xml:space="preserve"> / </w:t>
            </w:r>
            <w:proofErr w:type="spellStart"/>
            <w:r w:rsidRPr="00DE156B">
              <w:t>dalfopristin</w:t>
            </w:r>
            <w:proofErr w:type="spellEnd"/>
          </w:p>
        </w:tc>
        <w:tc>
          <w:tcPr>
            <w:tcW w:w="885" w:type="pct"/>
          </w:tcPr>
          <w:p w14:paraId="761A9345" w14:textId="77777777" w:rsidR="003D1A8A" w:rsidRPr="00DE156B" w:rsidRDefault="003D1A8A" w:rsidP="00B637F1">
            <w:pPr>
              <w:pStyle w:val="Tabletext"/>
            </w:pPr>
            <w:proofErr w:type="spellStart"/>
            <w:r w:rsidRPr="00DE156B">
              <w:t>virginiamycin</w:t>
            </w:r>
            <w:proofErr w:type="spellEnd"/>
          </w:p>
        </w:tc>
        <w:tc>
          <w:tcPr>
            <w:tcW w:w="985" w:type="pct"/>
            <w:tcBorders>
              <w:right w:val="double" w:sz="4" w:space="0" w:color="auto"/>
            </w:tcBorders>
          </w:tcPr>
          <w:p w14:paraId="761A9346" w14:textId="77777777" w:rsidR="003D1A8A" w:rsidRPr="00DE156B" w:rsidRDefault="003D1A8A" w:rsidP="00B637F1">
            <w:pPr>
              <w:pStyle w:val="Tabletext"/>
            </w:pPr>
            <w:r w:rsidRPr="00DE156B">
              <w:t>highly important</w:t>
            </w:r>
          </w:p>
        </w:tc>
        <w:tc>
          <w:tcPr>
            <w:tcW w:w="1129" w:type="pct"/>
            <w:tcBorders>
              <w:left w:val="double" w:sz="4" w:space="0" w:color="auto"/>
            </w:tcBorders>
          </w:tcPr>
          <w:p w14:paraId="761A9347" w14:textId="77777777" w:rsidR="003D1A8A" w:rsidRPr="00DE156B" w:rsidRDefault="003D1A8A" w:rsidP="00B637F1">
            <w:pPr>
              <w:pStyle w:val="Tabletext"/>
            </w:pPr>
            <w:r w:rsidRPr="00DE156B">
              <w:t>high</w:t>
            </w:r>
          </w:p>
        </w:tc>
      </w:tr>
      <w:tr w:rsidR="003D1A8A" w:rsidRPr="00DE156B" w14:paraId="761A934E" w14:textId="77777777" w:rsidTr="00173CC9">
        <w:tc>
          <w:tcPr>
            <w:tcW w:w="1104" w:type="pct"/>
          </w:tcPr>
          <w:p w14:paraId="761A9349" w14:textId="77777777" w:rsidR="003D1A8A" w:rsidRPr="00DE156B" w:rsidRDefault="003D1A8A" w:rsidP="00B637F1">
            <w:pPr>
              <w:pStyle w:val="Tabletext"/>
            </w:pPr>
            <w:proofErr w:type="spellStart"/>
            <w:r w:rsidRPr="00DE156B">
              <w:t>nitrofurans</w:t>
            </w:r>
            <w:proofErr w:type="spellEnd"/>
          </w:p>
        </w:tc>
        <w:tc>
          <w:tcPr>
            <w:tcW w:w="897" w:type="pct"/>
          </w:tcPr>
          <w:p w14:paraId="761A934A" w14:textId="77777777" w:rsidR="003D1A8A" w:rsidRPr="00DE156B" w:rsidRDefault="003D1A8A" w:rsidP="00B637F1">
            <w:pPr>
              <w:pStyle w:val="Tabletext"/>
            </w:pPr>
            <w:r w:rsidRPr="00DE156B">
              <w:t>nitrofurantoin</w:t>
            </w:r>
          </w:p>
        </w:tc>
        <w:tc>
          <w:tcPr>
            <w:tcW w:w="885" w:type="pct"/>
          </w:tcPr>
          <w:p w14:paraId="761A934B" w14:textId="77777777" w:rsidR="003D1A8A" w:rsidRPr="00DE156B" w:rsidRDefault="003D1A8A" w:rsidP="00B637F1">
            <w:pPr>
              <w:pStyle w:val="Tabletext"/>
            </w:pPr>
            <w:r w:rsidRPr="00DE156B">
              <w:t>none</w:t>
            </w:r>
          </w:p>
        </w:tc>
        <w:tc>
          <w:tcPr>
            <w:tcW w:w="985" w:type="pct"/>
            <w:tcBorders>
              <w:right w:val="double" w:sz="4" w:space="0" w:color="auto"/>
            </w:tcBorders>
          </w:tcPr>
          <w:p w14:paraId="761A934C" w14:textId="77777777" w:rsidR="003D1A8A" w:rsidRPr="00DE156B" w:rsidRDefault="003D1A8A" w:rsidP="00B637F1">
            <w:pPr>
              <w:pStyle w:val="Tabletext"/>
            </w:pPr>
            <w:r w:rsidRPr="00DE156B">
              <w:t>highly important</w:t>
            </w:r>
          </w:p>
        </w:tc>
        <w:tc>
          <w:tcPr>
            <w:tcW w:w="1129" w:type="pct"/>
            <w:tcBorders>
              <w:left w:val="double" w:sz="4" w:space="0" w:color="auto"/>
            </w:tcBorders>
          </w:tcPr>
          <w:p w14:paraId="761A934D" w14:textId="77777777" w:rsidR="003D1A8A" w:rsidRPr="00DE156B" w:rsidRDefault="003D1A8A" w:rsidP="00B637F1">
            <w:pPr>
              <w:pStyle w:val="Tabletext"/>
            </w:pPr>
            <w:r w:rsidRPr="00DE156B">
              <w:t>high</w:t>
            </w:r>
          </w:p>
        </w:tc>
      </w:tr>
    </w:tbl>
    <w:p w14:paraId="761A934F" w14:textId="77777777" w:rsidR="003D1A8A" w:rsidRPr="00DE156B" w:rsidRDefault="003D1A8A" w:rsidP="006F6BB7">
      <w:pPr>
        <w:pStyle w:val="Footer"/>
      </w:pPr>
      <w:r w:rsidRPr="00DE156B">
        <w:t>*</w:t>
      </w:r>
      <w:proofErr w:type="spellStart"/>
      <w:r w:rsidRPr="00DE156B">
        <w:t>Ansamycins</w:t>
      </w:r>
      <w:proofErr w:type="spellEnd"/>
      <w:r w:rsidRPr="00DE156B">
        <w:t xml:space="preserve"> are listed in the Antibacterial Importance Ratings as </w:t>
      </w:r>
      <w:proofErr w:type="spellStart"/>
      <w:r w:rsidRPr="00DE156B">
        <w:t>rifamycins</w:t>
      </w:r>
      <w:proofErr w:type="spellEnd"/>
      <w:r w:rsidRPr="00DE156B">
        <w:t xml:space="preserve">, which are a sub-class of </w:t>
      </w:r>
      <w:proofErr w:type="spellStart"/>
      <w:r w:rsidRPr="00DE156B">
        <w:t>ansamycins</w:t>
      </w:r>
      <w:proofErr w:type="spellEnd"/>
      <w:r w:rsidRPr="00DE156B">
        <w:t>.</w:t>
      </w:r>
    </w:p>
    <w:p w14:paraId="761A9350" w14:textId="77777777" w:rsidR="003D1A8A" w:rsidRPr="00DE156B" w:rsidRDefault="003D1A8A" w:rsidP="006F6BB7">
      <w:pPr>
        <w:pStyle w:val="Footer"/>
      </w:pPr>
      <w:r w:rsidRPr="00173CC9">
        <w:t>#</w:t>
      </w:r>
      <w:proofErr w:type="gramStart"/>
      <w:r w:rsidRPr="00DE156B">
        <w:t>Highest</w:t>
      </w:r>
      <w:proofErr w:type="gramEnd"/>
      <w:r w:rsidRPr="00DE156B">
        <w:t xml:space="preserve"> priority critically important antimicrobials (WHO)</w:t>
      </w:r>
    </w:p>
    <w:p w14:paraId="761A9353" w14:textId="7FAE6D7A" w:rsidR="00003743" w:rsidRPr="00B637F1" w:rsidRDefault="003D1A8A" w:rsidP="006F6BB7">
      <w:pPr>
        <w:pStyle w:val="Footer"/>
      </w:pPr>
      <w:r w:rsidRPr="00DE156B">
        <w:t>^The difference in ratings between the two lists reflects the relatively low reliance on this antibacterial agent in Australia because resistance is widespread in many pathogens causing infection in Australia. The WHO recognises that implementation at the national level requires that national considerations be taken into account and may vary from country to country.</w:t>
      </w:r>
    </w:p>
    <w:sectPr w:rsidR="00003743" w:rsidRPr="00B637F1" w:rsidSect="002E1311">
      <w:type w:val="continuous"/>
      <w:pgSz w:w="11906" w:h="16838"/>
      <w:pgMar w:top="1258" w:right="964" w:bottom="899" w:left="964" w:header="709" w:footer="709" w:gutter="0"/>
      <w:cols w:space="62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A9356" w14:textId="77777777" w:rsidR="000F3500" w:rsidRDefault="000F3500" w:rsidP="000F3500">
      <w:r>
        <w:separator/>
      </w:r>
    </w:p>
  </w:endnote>
  <w:endnote w:type="continuationSeparator" w:id="0">
    <w:p w14:paraId="761A9357" w14:textId="77777777" w:rsidR="000F3500" w:rsidRDefault="000F3500" w:rsidP="000F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BF12" w14:textId="77777777" w:rsidR="00B637F1" w:rsidRPr="00173CC9" w:rsidRDefault="00B637F1" w:rsidP="00173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45461" w14:textId="77777777" w:rsidR="00B637F1" w:rsidRDefault="00B63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C2289" w14:textId="77777777" w:rsidR="00B637F1" w:rsidRDefault="00B6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A9354" w14:textId="77777777" w:rsidR="000F3500" w:rsidRDefault="000F3500" w:rsidP="000F3500">
      <w:r>
        <w:separator/>
      </w:r>
    </w:p>
  </w:footnote>
  <w:footnote w:type="continuationSeparator" w:id="0">
    <w:p w14:paraId="761A9355" w14:textId="77777777" w:rsidR="000F3500" w:rsidRDefault="000F3500" w:rsidP="000F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9358" w14:textId="77777777" w:rsidR="000F3500" w:rsidRDefault="000F3500" w:rsidP="000F3500">
    <w:pPr>
      <w:pStyle w:val="Header"/>
    </w:pPr>
    <w:r>
      <w:rPr>
        <w:noProof/>
        <w:lang w:eastAsia="en-AU"/>
      </w:rPr>
      <w:drawing>
        <wp:anchor distT="0" distB="0" distL="114300" distR="114300" simplePos="0" relativeHeight="251659264" behindDoc="1" locked="0" layoutInCell="1" allowOverlap="1" wp14:anchorId="761A935B" wp14:editId="24781015">
          <wp:simplePos x="0" y="0"/>
          <wp:positionH relativeFrom="page">
            <wp:align>center</wp:align>
          </wp:positionH>
          <wp:positionV relativeFrom="page">
            <wp:posOffset>-9525</wp:posOffset>
          </wp:positionV>
          <wp:extent cx="7559029" cy="10692369"/>
          <wp:effectExtent l="0" t="0" r="4445" b="0"/>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1 AMR Fact Sheet template images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29" cy="106923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9359" w14:textId="77777777" w:rsidR="000F3500" w:rsidRDefault="000F3500" w:rsidP="000F3500">
    <w:pPr>
      <w:pStyle w:val="Header"/>
    </w:pPr>
    <w:r>
      <w:rPr>
        <w:noProof/>
        <w:lang w:eastAsia="en-AU"/>
      </w:rPr>
      <w:drawing>
        <wp:anchor distT="0" distB="0" distL="114300" distR="114300" simplePos="0" relativeHeight="251660288" behindDoc="1" locked="0" layoutInCell="1" allowOverlap="1" wp14:anchorId="761A935D" wp14:editId="2BFE2EFC">
          <wp:simplePos x="0" y="0"/>
          <wp:positionH relativeFrom="page">
            <wp:align>center</wp:align>
          </wp:positionH>
          <wp:positionV relativeFrom="page">
            <wp:align>center</wp:align>
          </wp:positionV>
          <wp:extent cx="7559027" cy="10692367"/>
          <wp:effectExtent l="0" t="0" r="4445" b="0"/>
          <wp:wrapNone/>
          <wp:docPr id="14" name="Picture 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1 AMR Fact Sheet template images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27" cy="106923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935A" w14:textId="77777777" w:rsidR="000F3500" w:rsidRDefault="000F3500" w:rsidP="000F3500">
    <w:pPr>
      <w:pStyle w:val="Header"/>
    </w:pPr>
    <w:r>
      <w:rPr>
        <w:noProof/>
        <w:lang w:eastAsia="en-AU"/>
      </w:rPr>
      <w:drawing>
        <wp:anchor distT="0" distB="0" distL="114300" distR="114300" simplePos="0" relativeHeight="251658240" behindDoc="1" locked="0" layoutInCell="1" allowOverlap="1" wp14:anchorId="761A935F" wp14:editId="673A64A6">
          <wp:simplePos x="0" y="0"/>
          <wp:positionH relativeFrom="page">
            <wp:align>center</wp:align>
          </wp:positionH>
          <wp:positionV relativeFrom="page">
            <wp:align>center</wp:align>
          </wp:positionV>
          <wp:extent cx="7558768" cy="10692000"/>
          <wp:effectExtent l="0" t="0" r="4445" b="0"/>
          <wp:wrapNone/>
          <wp:docPr id="15" name="Picture 1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1 AMR Fact Sheet template image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E38"/>
    <w:multiLevelType w:val="hybridMultilevel"/>
    <w:tmpl w:val="5C386264"/>
    <w:lvl w:ilvl="0" w:tplc="FB5C8A0E">
      <w:start w:val="1"/>
      <w:numFmt w:val="bullet"/>
      <w:lvlText w:val="•"/>
      <w:lvlJc w:val="left"/>
      <w:pPr>
        <w:ind w:left="720" w:hanging="360"/>
      </w:pPr>
      <w:rPr>
        <w:rFonts w:ascii="Arial" w:hAnsi="Arial" w:hint="default"/>
        <w:b w:val="0"/>
        <w:i w:val="0"/>
        <w:color w:val="auto"/>
        <w:sz w:val="21"/>
        <w:szCs w:val="15"/>
        <w:u w:color="00ADE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454272"/>
    <w:multiLevelType w:val="hybridMultilevel"/>
    <w:tmpl w:val="B0064530"/>
    <w:lvl w:ilvl="0" w:tplc="322417F6">
      <w:numFmt w:val="bullet"/>
      <w:lvlText w:val="•"/>
      <w:lvlJc w:val="left"/>
      <w:pPr>
        <w:ind w:left="1080" w:hanging="72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520797"/>
    <w:multiLevelType w:val="hybridMultilevel"/>
    <w:tmpl w:val="27CAF8CA"/>
    <w:lvl w:ilvl="0" w:tplc="C0669498">
      <w:start w:val="1"/>
      <w:numFmt w:val="bullet"/>
      <w:lvlText w:val=""/>
      <w:lvlJc w:val="left"/>
      <w:pPr>
        <w:ind w:left="360" w:hanging="360"/>
      </w:pPr>
      <w:rPr>
        <w:rFonts w:ascii="Symbol" w:hAnsi="Symbol" w:hint="default"/>
        <w:color w:val="00ADE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5B7A97"/>
    <w:multiLevelType w:val="hybridMultilevel"/>
    <w:tmpl w:val="69F68942"/>
    <w:lvl w:ilvl="0" w:tplc="E8F0BB3C">
      <w:start w:val="1"/>
      <w:numFmt w:val="bullet"/>
      <w:lvlText w:val="•"/>
      <w:lvlJc w:val="left"/>
      <w:pPr>
        <w:ind w:left="360" w:hanging="360"/>
      </w:pPr>
      <w:rPr>
        <w:rFonts w:ascii="Arial" w:hAnsi="Arial" w:hint="default"/>
        <w:b w:val="0"/>
        <w:i w:val="0"/>
        <w:color w:val="00ADEF"/>
        <w:sz w:val="21"/>
        <w:szCs w:val="15"/>
        <w:u w:color="FFFFFF" w:themeColor="background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73C92491"/>
    <w:multiLevelType w:val="hybridMultilevel"/>
    <w:tmpl w:val="066A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00"/>
    <w:rsid w:val="00003743"/>
    <w:rsid w:val="00030BCC"/>
    <w:rsid w:val="00067456"/>
    <w:rsid w:val="000F3500"/>
    <w:rsid w:val="00173CC9"/>
    <w:rsid w:val="001876E0"/>
    <w:rsid w:val="001B3443"/>
    <w:rsid w:val="002E1311"/>
    <w:rsid w:val="002E398A"/>
    <w:rsid w:val="002F3AE3"/>
    <w:rsid w:val="0030786C"/>
    <w:rsid w:val="00395FFA"/>
    <w:rsid w:val="003D17F9"/>
    <w:rsid w:val="003D1A8A"/>
    <w:rsid w:val="004867E2"/>
    <w:rsid w:val="004D64F9"/>
    <w:rsid w:val="00594118"/>
    <w:rsid w:val="00695B50"/>
    <w:rsid w:val="006F6BB7"/>
    <w:rsid w:val="00807E20"/>
    <w:rsid w:val="008264EB"/>
    <w:rsid w:val="00924BE0"/>
    <w:rsid w:val="00944D86"/>
    <w:rsid w:val="00A4512D"/>
    <w:rsid w:val="00A705AF"/>
    <w:rsid w:val="00A718B4"/>
    <w:rsid w:val="00B42851"/>
    <w:rsid w:val="00B637F1"/>
    <w:rsid w:val="00C91C6E"/>
    <w:rsid w:val="00CB5B1A"/>
    <w:rsid w:val="00D93D44"/>
    <w:rsid w:val="00FA0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1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CC9"/>
    <w:pPr>
      <w:spacing w:before="240" w:after="120"/>
    </w:pPr>
    <w:rPr>
      <w:rFonts w:ascii="Segoe UI" w:hAnsi="Segoe UI" w:cs="Segoe UI"/>
      <w:sz w:val="24"/>
      <w:lang w:eastAsia="en-US"/>
    </w:rPr>
  </w:style>
  <w:style w:type="paragraph" w:styleId="Heading1">
    <w:name w:val="heading 1"/>
    <w:basedOn w:val="Normal"/>
    <w:next w:val="Normal"/>
    <w:qFormat/>
    <w:rsid w:val="00C91C6E"/>
    <w:pPr>
      <w:keepNext/>
      <w:spacing w:after="240"/>
      <w:outlineLvl w:val="0"/>
    </w:pPr>
    <w:rPr>
      <w:rFonts w:ascii="Rockwell" w:hAnsi="Rockwell" w:cs="Arial"/>
      <w:b/>
      <w:bCs/>
      <w:color w:val="004052"/>
      <w:kern w:val="28"/>
      <w:sz w:val="32"/>
      <w:szCs w:val="32"/>
    </w:rPr>
  </w:style>
  <w:style w:type="paragraph" w:styleId="Heading2">
    <w:name w:val="heading 2"/>
    <w:basedOn w:val="Normal"/>
    <w:next w:val="Normal"/>
    <w:qFormat/>
    <w:rsid w:val="00C91C6E"/>
    <w:pPr>
      <w:keepNext/>
      <w:spacing w:after="60"/>
      <w:outlineLvl w:val="1"/>
    </w:pPr>
    <w:rPr>
      <w:rFonts w:ascii="Rockwell" w:hAnsi="Rockwell" w:cs="Arial"/>
      <w:bCs/>
      <w:iCs/>
      <w:color w:val="004052"/>
      <w:sz w:val="28"/>
      <w:szCs w:val="28"/>
    </w:rPr>
  </w:style>
  <w:style w:type="paragraph" w:styleId="Heading3">
    <w:name w:val="heading 3"/>
    <w:basedOn w:val="Normal"/>
    <w:next w:val="Normal"/>
    <w:qFormat/>
    <w:rsid w:val="00C91C6E"/>
    <w:pPr>
      <w:keepNext/>
      <w:spacing w:after="60"/>
      <w:outlineLvl w:val="2"/>
    </w:pPr>
    <w:rPr>
      <w:rFonts w:ascii="Rockwell" w:hAnsi="Rockwell" w:cs="Arial"/>
      <w:bCs/>
      <w:i/>
      <w:szCs w:val="26"/>
    </w:rPr>
  </w:style>
  <w:style w:type="paragraph" w:styleId="Heading4">
    <w:name w:val="heading 4"/>
    <w:basedOn w:val="Heading3"/>
    <w:next w:val="Normal"/>
    <w:qFormat/>
    <w:rsid w:val="00C91C6E"/>
    <w:pPr>
      <w:outlineLvl w:val="3"/>
    </w:pPr>
    <w:rPr>
      <w:bCs w:val="0"/>
      <w:i w:val="0"/>
      <w:sz w:val="20"/>
      <w:szCs w:val="28"/>
    </w:rPr>
  </w:style>
  <w:style w:type="paragraph" w:styleId="Heading5">
    <w:name w:val="heading 5"/>
    <w:basedOn w:val="Heading4"/>
    <w:next w:val="Normal"/>
    <w:qFormat/>
    <w:rsid w:val="00C91C6E"/>
    <w:pPr>
      <w:outlineLvl w:val="4"/>
    </w:pPr>
  </w:style>
  <w:style w:type="paragraph" w:styleId="Heading6">
    <w:name w:val="heading 6"/>
    <w:basedOn w:val="Heading5"/>
    <w:next w:val="Normal"/>
    <w:rsid w:val="00C91C6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637F1"/>
    <w:rPr>
      <w:rFonts w:ascii="Segoe UI" w:hAnsi="Segoe UI"/>
      <w:i/>
      <w:iCs/>
      <w:sz w:val="24"/>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0F3500"/>
    <w:pPr>
      <w:numPr>
        <w:ilvl w:val="1"/>
      </w:numPr>
      <w:pBdr>
        <w:top w:val="single" w:sz="48" w:space="16" w:color="00ADEF"/>
        <w:left w:val="single" w:sz="48" w:space="17" w:color="00ADEF"/>
        <w:bottom w:val="single" w:sz="48" w:space="16" w:color="00ADEF"/>
        <w:right w:val="single" w:sz="48" w:space="17" w:color="00ADEF"/>
      </w:pBdr>
      <w:shd w:val="clear" w:color="auto" w:fill="00ADEF"/>
      <w:spacing w:before="600" w:after="0"/>
    </w:pPr>
    <w:rPr>
      <w:rFonts w:ascii="Rockwell" w:hAnsi="Rockwell" w:cs="Times New Roman"/>
      <w:color w:val="FFFFFF" w:themeColor="background1"/>
      <w:sz w:val="32"/>
      <w:szCs w:val="32"/>
    </w:rPr>
  </w:style>
  <w:style w:type="character" w:customStyle="1" w:styleId="SubtitleChar">
    <w:name w:val="Subtitle Char"/>
    <w:basedOn w:val="DefaultParagraphFont"/>
    <w:link w:val="Subtitle"/>
    <w:rsid w:val="000F3500"/>
    <w:rPr>
      <w:rFonts w:ascii="Rockwell" w:hAnsi="Rockwell"/>
      <w:color w:val="FFFFFF" w:themeColor="background1"/>
      <w:sz w:val="32"/>
      <w:szCs w:val="32"/>
      <w:shd w:val="clear" w:color="auto" w:fill="00ADEF"/>
      <w:lang w:eastAsia="en-US"/>
    </w:rPr>
  </w:style>
  <w:style w:type="paragraph" w:styleId="Title">
    <w:name w:val="Title"/>
    <w:basedOn w:val="Normal"/>
    <w:next w:val="Normal"/>
    <w:link w:val="TitleChar"/>
    <w:qFormat/>
    <w:rsid w:val="00B637F1"/>
    <w:pPr>
      <w:spacing w:before="1080"/>
    </w:pPr>
    <w:rPr>
      <w:rFonts w:ascii="Rockwell" w:hAnsi="Rockwell"/>
      <w:color w:val="FFFFFF" w:themeColor="background1"/>
      <w:sz w:val="36"/>
      <w:szCs w:val="48"/>
    </w:rPr>
  </w:style>
  <w:style w:type="character" w:customStyle="1" w:styleId="TitleChar">
    <w:name w:val="Title Char"/>
    <w:basedOn w:val="DefaultParagraphFont"/>
    <w:link w:val="Title"/>
    <w:rsid w:val="00B637F1"/>
    <w:rPr>
      <w:rFonts w:ascii="Rockwell" w:hAnsi="Rockwell" w:cs="Segoe UI"/>
      <w:color w:val="FFFFFF" w:themeColor="background1"/>
      <w:sz w:val="36"/>
      <w:szCs w:val="48"/>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004252"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004252" w:themeColor="accent1"/>
      </w:pBdr>
      <w:spacing w:before="200" w:after="280"/>
      <w:ind w:left="936" w:right="936"/>
    </w:pPr>
    <w:rPr>
      <w:b/>
      <w:bCs/>
      <w:i/>
      <w:iCs/>
      <w:color w:val="004252" w:themeColor="accent1"/>
    </w:rPr>
  </w:style>
  <w:style w:type="character" w:customStyle="1" w:styleId="IntenseQuoteChar">
    <w:name w:val="Intense Quote Char"/>
    <w:basedOn w:val="DefaultParagraphFont"/>
    <w:link w:val="IntenseQuote"/>
    <w:uiPriority w:val="30"/>
    <w:rsid w:val="00A4512D"/>
    <w:rPr>
      <w:b/>
      <w:bCs/>
      <w:i/>
      <w:iCs/>
      <w:color w:val="004252" w:themeColor="accent1"/>
      <w:sz w:val="24"/>
      <w:szCs w:val="24"/>
      <w:lang w:eastAsia="en-US"/>
    </w:rPr>
  </w:style>
  <w:style w:type="character" w:styleId="SubtleReference">
    <w:name w:val="Subtle Reference"/>
    <w:basedOn w:val="DefaultParagraphFont"/>
    <w:uiPriority w:val="31"/>
    <w:qFormat/>
    <w:rsid w:val="00A4512D"/>
    <w:rPr>
      <w:smallCaps/>
      <w:color w:val="00ADEF" w:themeColor="accent2"/>
      <w:u w:val="single"/>
    </w:rPr>
  </w:style>
  <w:style w:type="character" w:styleId="IntenseReference">
    <w:name w:val="Intense Reference"/>
    <w:basedOn w:val="DefaultParagraphFont"/>
    <w:uiPriority w:val="32"/>
    <w:qFormat/>
    <w:rsid w:val="00A4512D"/>
    <w:rPr>
      <w:b/>
      <w:bCs/>
      <w:i/>
      <w:smallCaps/>
      <w:color w:val="00ADEF"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0F3500"/>
    <w:pPr>
      <w:tabs>
        <w:tab w:val="center" w:pos="4513"/>
        <w:tab w:val="right" w:pos="9026"/>
      </w:tabs>
    </w:pPr>
  </w:style>
  <w:style w:type="character" w:customStyle="1" w:styleId="HeaderChar">
    <w:name w:val="Header Char"/>
    <w:basedOn w:val="DefaultParagraphFont"/>
    <w:link w:val="Header"/>
    <w:rsid w:val="000F3500"/>
    <w:rPr>
      <w:sz w:val="24"/>
      <w:szCs w:val="24"/>
      <w:lang w:eastAsia="en-US"/>
    </w:rPr>
  </w:style>
  <w:style w:type="paragraph" w:styleId="Footer">
    <w:name w:val="footer"/>
    <w:basedOn w:val="Normal"/>
    <w:link w:val="FooterChar"/>
    <w:rsid w:val="002E1311"/>
    <w:pPr>
      <w:tabs>
        <w:tab w:val="center" w:pos="4513"/>
        <w:tab w:val="right" w:pos="9026"/>
      </w:tabs>
      <w:spacing w:before="80" w:after="0"/>
    </w:pPr>
    <w:rPr>
      <w:sz w:val="18"/>
    </w:rPr>
  </w:style>
  <w:style w:type="character" w:customStyle="1" w:styleId="FooterChar">
    <w:name w:val="Footer Char"/>
    <w:basedOn w:val="DefaultParagraphFont"/>
    <w:link w:val="Footer"/>
    <w:rsid w:val="002E1311"/>
    <w:rPr>
      <w:rFonts w:ascii="Segoe UI" w:hAnsi="Segoe UI" w:cs="Segoe UI"/>
      <w:sz w:val="18"/>
      <w:lang w:eastAsia="en-US"/>
    </w:rPr>
  </w:style>
  <w:style w:type="paragraph" w:styleId="BalloonText">
    <w:name w:val="Balloon Text"/>
    <w:basedOn w:val="Normal"/>
    <w:link w:val="BalloonTextChar"/>
    <w:rsid w:val="00173C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173CC9"/>
    <w:rPr>
      <w:rFonts w:ascii="Tahoma" w:hAnsi="Tahoma" w:cs="Tahoma"/>
      <w:sz w:val="16"/>
      <w:szCs w:val="16"/>
      <w:lang w:eastAsia="en-US"/>
    </w:rPr>
  </w:style>
  <w:style w:type="table" w:styleId="TableGrid">
    <w:name w:val="Table Grid"/>
    <w:basedOn w:val="TableNormal"/>
    <w:rsid w:val="003D1A8A"/>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73CC9"/>
    <w:pPr>
      <w:spacing w:before="0" w:after="0"/>
    </w:pPr>
    <w:rPr>
      <w:rFonts w:eastAsia="Calibri"/>
      <w:b/>
      <w:sz w:val="20"/>
    </w:rPr>
  </w:style>
  <w:style w:type="paragraph" w:customStyle="1" w:styleId="Tabletext">
    <w:name w:val="Table text"/>
    <w:basedOn w:val="Normal"/>
    <w:qFormat/>
    <w:rsid w:val="00173CC9"/>
    <w:pPr>
      <w:tabs>
        <w:tab w:val="left" w:pos="9027"/>
      </w:tabs>
      <w:spacing w:before="0" w:after="0"/>
    </w:pPr>
    <w:rPr>
      <w:rFonts w:eastAsia="Calibri"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CC9"/>
    <w:pPr>
      <w:spacing w:before="240" w:after="120"/>
    </w:pPr>
    <w:rPr>
      <w:rFonts w:ascii="Segoe UI" w:hAnsi="Segoe UI" w:cs="Segoe UI"/>
      <w:sz w:val="24"/>
      <w:lang w:eastAsia="en-US"/>
    </w:rPr>
  </w:style>
  <w:style w:type="paragraph" w:styleId="Heading1">
    <w:name w:val="heading 1"/>
    <w:basedOn w:val="Normal"/>
    <w:next w:val="Normal"/>
    <w:qFormat/>
    <w:rsid w:val="00C91C6E"/>
    <w:pPr>
      <w:keepNext/>
      <w:spacing w:after="240"/>
      <w:outlineLvl w:val="0"/>
    </w:pPr>
    <w:rPr>
      <w:rFonts w:ascii="Rockwell" w:hAnsi="Rockwell" w:cs="Arial"/>
      <w:b/>
      <w:bCs/>
      <w:color w:val="004052"/>
      <w:kern w:val="28"/>
      <w:sz w:val="32"/>
      <w:szCs w:val="32"/>
    </w:rPr>
  </w:style>
  <w:style w:type="paragraph" w:styleId="Heading2">
    <w:name w:val="heading 2"/>
    <w:basedOn w:val="Normal"/>
    <w:next w:val="Normal"/>
    <w:qFormat/>
    <w:rsid w:val="00C91C6E"/>
    <w:pPr>
      <w:keepNext/>
      <w:spacing w:after="60"/>
      <w:outlineLvl w:val="1"/>
    </w:pPr>
    <w:rPr>
      <w:rFonts w:ascii="Rockwell" w:hAnsi="Rockwell" w:cs="Arial"/>
      <w:bCs/>
      <w:iCs/>
      <w:color w:val="004052"/>
      <w:sz w:val="28"/>
      <w:szCs w:val="28"/>
    </w:rPr>
  </w:style>
  <w:style w:type="paragraph" w:styleId="Heading3">
    <w:name w:val="heading 3"/>
    <w:basedOn w:val="Normal"/>
    <w:next w:val="Normal"/>
    <w:qFormat/>
    <w:rsid w:val="00C91C6E"/>
    <w:pPr>
      <w:keepNext/>
      <w:spacing w:after="60"/>
      <w:outlineLvl w:val="2"/>
    </w:pPr>
    <w:rPr>
      <w:rFonts w:ascii="Rockwell" w:hAnsi="Rockwell" w:cs="Arial"/>
      <w:bCs/>
      <w:i/>
      <w:szCs w:val="26"/>
    </w:rPr>
  </w:style>
  <w:style w:type="paragraph" w:styleId="Heading4">
    <w:name w:val="heading 4"/>
    <w:basedOn w:val="Heading3"/>
    <w:next w:val="Normal"/>
    <w:qFormat/>
    <w:rsid w:val="00C91C6E"/>
    <w:pPr>
      <w:outlineLvl w:val="3"/>
    </w:pPr>
    <w:rPr>
      <w:bCs w:val="0"/>
      <w:i w:val="0"/>
      <w:sz w:val="20"/>
      <w:szCs w:val="28"/>
    </w:rPr>
  </w:style>
  <w:style w:type="paragraph" w:styleId="Heading5">
    <w:name w:val="heading 5"/>
    <w:basedOn w:val="Heading4"/>
    <w:next w:val="Normal"/>
    <w:qFormat/>
    <w:rsid w:val="00C91C6E"/>
    <w:pPr>
      <w:outlineLvl w:val="4"/>
    </w:pPr>
  </w:style>
  <w:style w:type="paragraph" w:styleId="Heading6">
    <w:name w:val="heading 6"/>
    <w:basedOn w:val="Heading5"/>
    <w:next w:val="Normal"/>
    <w:rsid w:val="00C91C6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637F1"/>
    <w:rPr>
      <w:rFonts w:ascii="Segoe UI" w:hAnsi="Segoe UI"/>
      <w:i/>
      <w:iCs/>
      <w:sz w:val="24"/>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0F3500"/>
    <w:pPr>
      <w:numPr>
        <w:ilvl w:val="1"/>
      </w:numPr>
      <w:pBdr>
        <w:top w:val="single" w:sz="48" w:space="16" w:color="00ADEF"/>
        <w:left w:val="single" w:sz="48" w:space="17" w:color="00ADEF"/>
        <w:bottom w:val="single" w:sz="48" w:space="16" w:color="00ADEF"/>
        <w:right w:val="single" w:sz="48" w:space="17" w:color="00ADEF"/>
      </w:pBdr>
      <w:shd w:val="clear" w:color="auto" w:fill="00ADEF"/>
      <w:spacing w:before="600" w:after="0"/>
    </w:pPr>
    <w:rPr>
      <w:rFonts w:ascii="Rockwell" w:hAnsi="Rockwell" w:cs="Times New Roman"/>
      <w:color w:val="FFFFFF" w:themeColor="background1"/>
      <w:sz w:val="32"/>
      <w:szCs w:val="32"/>
    </w:rPr>
  </w:style>
  <w:style w:type="character" w:customStyle="1" w:styleId="SubtitleChar">
    <w:name w:val="Subtitle Char"/>
    <w:basedOn w:val="DefaultParagraphFont"/>
    <w:link w:val="Subtitle"/>
    <w:rsid w:val="000F3500"/>
    <w:rPr>
      <w:rFonts w:ascii="Rockwell" w:hAnsi="Rockwell"/>
      <w:color w:val="FFFFFF" w:themeColor="background1"/>
      <w:sz w:val="32"/>
      <w:szCs w:val="32"/>
      <w:shd w:val="clear" w:color="auto" w:fill="00ADEF"/>
      <w:lang w:eastAsia="en-US"/>
    </w:rPr>
  </w:style>
  <w:style w:type="paragraph" w:styleId="Title">
    <w:name w:val="Title"/>
    <w:basedOn w:val="Normal"/>
    <w:next w:val="Normal"/>
    <w:link w:val="TitleChar"/>
    <w:qFormat/>
    <w:rsid w:val="00B637F1"/>
    <w:pPr>
      <w:spacing w:before="1080"/>
    </w:pPr>
    <w:rPr>
      <w:rFonts w:ascii="Rockwell" w:hAnsi="Rockwell"/>
      <w:color w:val="FFFFFF" w:themeColor="background1"/>
      <w:sz w:val="36"/>
      <w:szCs w:val="48"/>
    </w:rPr>
  </w:style>
  <w:style w:type="character" w:customStyle="1" w:styleId="TitleChar">
    <w:name w:val="Title Char"/>
    <w:basedOn w:val="DefaultParagraphFont"/>
    <w:link w:val="Title"/>
    <w:rsid w:val="00B637F1"/>
    <w:rPr>
      <w:rFonts w:ascii="Rockwell" w:hAnsi="Rockwell" w:cs="Segoe UI"/>
      <w:color w:val="FFFFFF" w:themeColor="background1"/>
      <w:sz w:val="36"/>
      <w:szCs w:val="48"/>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004252"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004252" w:themeColor="accent1"/>
      </w:pBdr>
      <w:spacing w:before="200" w:after="280"/>
      <w:ind w:left="936" w:right="936"/>
    </w:pPr>
    <w:rPr>
      <w:b/>
      <w:bCs/>
      <w:i/>
      <w:iCs/>
      <w:color w:val="004252" w:themeColor="accent1"/>
    </w:rPr>
  </w:style>
  <w:style w:type="character" w:customStyle="1" w:styleId="IntenseQuoteChar">
    <w:name w:val="Intense Quote Char"/>
    <w:basedOn w:val="DefaultParagraphFont"/>
    <w:link w:val="IntenseQuote"/>
    <w:uiPriority w:val="30"/>
    <w:rsid w:val="00A4512D"/>
    <w:rPr>
      <w:b/>
      <w:bCs/>
      <w:i/>
      <w:iCs/>
      <w:color w:val="004252" w:themeColor="accent1"/>
      <w:sz w:val="24"/>
      <w:szCs w:val="24"/>
      <w:lang w:eastAsia="en-US"/>
    </w:rPr>
  </w:style>
  <w:style w:type="character" w:styleId="SubtleReference">
    <w:name w:val="Subtle Reference"/>
    <w:basedOn w:val="DefaultParagraphFont"/>
    <w:uiPriority w:val="31"/>
    <w:qFormat/>
    <w:rsid w:val="00A4512D"/>
    <w:rPr>
      <w:smallCaps/>
      <w:color w:val="00ADEF" w:themeColor="accent2"/>
      <w:u w:val="single"/>
    </w:rPr>
  </w:style>
  <w:style w:type="character" w:styleId="IntenseReference">
    <w:name w:val="Intense Reference"/>
    <w:basedOn w:val="DefaultParagraphFont"/>
    <w:uiPriority w:val="32"/>
    <w:qFormat/>
    <w:rsid w:val="00A4512D"/>
    <w:rPr>
      <w:b/>
      <w:bCs/>
      <w:i/>
      <w:smallCaps/>
      <w:color w:val="00ADEF"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0F3500"/>
    <w:pPr>
      <w:tabs>
        <w:tab w:val="center" w:pos="4513"/>
        <w:tab w:val="right" w:pos="9026"/>
      </w:tabs>
    </w:pPr>
  </w:style>
  <w:style w:type="character" w:customStyle="1" w:styleId="HeaderChar">
    <w:name w:val="Header Char"/>
    <w:basedOn w:val="DefaultParagraphFont"/>
    <w:link w:val="Header"/>
    <w:rsid w:val="000F3500"/>
    <w:rPr>
      <w:sz w:val="24"/>
      <w:szCs w:val="24"/>
      <w:lang w:eastAsia="en-US"/>
    </w:rPr>
  </w:style>
  <w:style w:type="paragraph" w:styleId="Footer">
    <w:name w:val="footer"/>
    <w:basedOn w:val="Normal"/>
    <w:link w:val="FooterChar"/>
    <w:rsid w:val="002E1311"/>
    <w:pPr>
      <w:tabs>
        <w:tab w:val="center" w:pos="4513"/>
        <w:tab w:val="right" w:pos="9026"/>
      </w:tabs>
      <w:spacing w:before="80" w:after="0"/>
    </w:pPr>
    <w:rPr>
      <w:sz w:val="18"/>
    </w:rPr>
  </w:style>
  <w:style w:type="character" w:customStyle="1" w:styleId="FooterChar">
    <w:name w:val="Footer Char"/>
    <w:basedOn w:val="DefaultParagraphFont"/>
    <w:link w:val="Footer"/>
    <w:rsid w:val="002E1311"/>
    <w:rPr>
      <w:rFonts w:ascii="Segoe UI" w:hAnsi="Segoe UI" w:cs="Segoe UI"/>
      <w:sz w:val="18"/>
      <w:lang w:eastAsia="en-US"/>
    </w:rPr>
  </w:style>
  <w:style w:type="paragraph" w:styleId="BalloonText">
    <w:name w:val="Balloon Text"/>
    <w:basedOn w:val="Normal"/>
    <w:link w:val="BalloonTextChar"/>
    <w:rsid w:val="00173C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173CC9"/>
    <w:rPr>
      <w:rFonts w:ascii="Tahoma" w:hAnsi="Tahoma" w:cs="Tahoma"/>
      <w:sz w:val="16"/>
      <w:szCs w:val="16"/>
      <w:lang w:eastAsia="en-US"/>
    </w:rPr>
  </w:style>
  <w:style w:type="table" w:styleId="TableGrid">
    <w:name w:val="Table Grid"/>
    <w:basedOn w:val="TableNormal"/>
    <w:rsid w:val="003D1A8A"/>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73CC9"/>
    <w:pPr>
      <w:spacing w:before="0" w:after="0"/>
    </w:pPr>
    <w:rPr>
      <w:rFonts w:eastAsia="Calibri"/>
      <w:b/>
      <w:sz w:val="20"/>
    </w:rPr>
  </w:style>
  <w:style w:type="paragraph" w:customStyle="1" w:styleId="Tabletext">
    <w:name w:val="Table text"/>
    <w:basedOn w:val="Normal"/>
    <w:qFormat/>
    <w:rsid w:val="00173CC9"/>
    <w:pPr>
      <w:tabs>
        <w:tab w:val="left" w:pos="9027"/>
      </w:tabs>
      <w:spacing w:before="0" w:after="0"/>
    </w:pPr>
    <w:rPr>
      <w:rFonts w:eastAsia="Calibri"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MR">
      <a:dk1>
        <a:sysClr val="windowText" lastClr="000000"/>
      </a:dk1>
      <a:lt1>
        <a:sysClr val="window" lastClr="FFFFFF"/>
      </a:lt1>
      <a:dk2>
        <a:srgbClr val="004252"/>
      </a:dk2>
      <a:lt2>
        <a:srgbClr val="FFE98F"/>
      </a:lt2>
      <a:accent1>
        <a:srgbClr val="004252"/>
      </a:accent1>
      <a:accent2>
        <a:srgbClr val="00ADEF"/>
      </a:accent2>
      <a:accent3>
        <a:srgbClr val="C6EAFA"/>
      </a:accent3>
      <a:accent4>
        <a:srgbClr val="FF83C5"/>
      </a:accent4>
      <a:accent5>
        <a:srgbClr val="FFE98F"/>
      </a:accent5>
      <a:accent6>
        <a:srgbClr val="FBD5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MCGRATH, Tegan</DisplayName>
        <AccountId>2455</AccountId>
        <AccountType/>
      </UserInfo>
    </Quality_x0020_Reviewer_x0028_s_x0029_>
    <Content_x0020_Owner_x0020_Designation xmlns="2bd5d25a-ed67-4748-9d94-e4b1e4baa595">Acting Assistant Secretary</Content_x0020_Owner_x0020_Designation>
    <Publishing_x0020_Required_x0020_By xmlns="2bd5d25a-ed67-4748-9d94-e4b1e4baa595">2018-08-09T14:00:00+00:00</Publishing_x0020_Required_x0020_By>
    <Approved_x0020_Date xmlns="2bd5d25a-ed67-4748-9d94-e4b1e4baa595">2018-08-23T14:00:00+00:00</Approved_x0020_Date>
    <IconOverlay xmlns="http://schemas.microsoft.com/sharepoint/v4" xsi:nil="true"/>
    <Content_x0020_Approver xmlns="2bd5d25a-ed67-4748-9d94-e4b1e4baa595">
      <UserInfo>
        <DisplayName>HOOD, Jennie</DisplayName>
        <AccountId>4351</AccountId>
        <AccountType/>
      </UserInfo>
    </Content_x0020_Approver>
    <Content_x0020_Owner_x0020_Division xmlns="2bd5d25a-ed67-4748-9d94-e4b1e4baa595">Office of Health Protection DIV</Content_x0020_Owner_x0020_Division>
    <Content_x0020_Owner_x0020_Branch xmlns="2bd5d25a-ed67-4748-9d94-e4b1e4baa595">OHPD Health Protection Policy BR</Content_x0020_Owner_x0020_Branch>
    <Package_x0020_Status xmlns="2bd5d25a-ed67-4748-9d94-e4b1e4baa595">Approved</Package_x0020_Status>
    <Content_x0020_Owner_x0020_Section xmlns="2bd5d25a-ed67-4748-9d94-e4b1e4baa595">OHPD HPP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NORRIS, Sarah</DisplayName>
        <AccountId>3563</AccountId>
        <AccountType/>
      </UserInfo>
    </Cont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8692-DF4C-4124-9B07-EB2118071573}">
  <ds:schemaRefs>
    <ds:schemaRef ds:uri="http://schemas.microsoft.com/office/2006/metadata/properties"/>
    <ds:schemaRef ds:uri="http://purl.org/dc/terms/"/>
    <ds:schemaRef ds:uri="http://schemas.microsoft.com/office/infopath/2007/PartnerControls"/>
    <ds:schemaRef ds:uri="http://schemas.microsoft.com/sharepoint/v4"/>
    <ds:schemaRef ds:uri="http://purl.org/dc/elements/1.1/"/>
    <ds:schemaRef ds:uri="http://schemas.microsoft.com/sharepoint/v3"/>
    <ds:schemaRef ds:uri="2bd5d25a-ed67-4748-9d94-e4b1e4baa59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C6260F-4F44-467B-8440-20D02B23CCD3}">
  <ds:schemaRefs>
    <ds:schemaRef ds:uri="http://schemas.microsoft.com/sharepoint/v3/contenttype/forms"/>
  </ds:schemaRefs>
</ds:datastoreItem>
</file>

<file path=customXml/itemProps3.xml><?xml version="1.0" encoding="utf-8"?>
<ds:datastoreItem xmlns:ds="http://schemas.openxmlformats.org/officeDocument/2006/customXml" ds:itemID="{19188999-7D85-4013-81C8-2A673F2A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FB2ED-9F19-4E34-9EAC-53999E66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3789</Characters>
  <Application>Microsoft Office Word</Application>
  <DocSecurity>4</DocSecurity>
  <Lines>172</Lines>
  <Paragraphs>128</Paragraphs>
  <ScaleCrop>false</ScaleCrop>
  <HeadingPairs>
    <vt:vector size="2" baseType="variant">
      <vt:variant>
        <vt:lpstr>Title</vt:lpstr>
      </vt:variant>
      <vt:variant>
        <vt:i4>1</vt:i4>
      </vt:variant>
    </vt:vector>
  </HeadingPairs>
  <TitlesOfParts>
    <vt:vector size="1" baseType="lpstr">
      <vt:lpstr>Comparison between the Importance Ratings and Summary of Antibacterial Uses in Human and Animal Health in Australia and the World Health Organization (WHO) Critically Important Antimicrobials for Human Medicine 5th revision, 2018</vt:lpstr>
    </vt:vector>
  </TitlesOfParts>
  <Company>Dept Health And Ageing</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between the Importance Ratings and Summary of Antibacterial Uses in Human and Animal Health in Australia and the World Health Organization (WHO) Critically Important Antimicrobials for Human Medicine 5th revision, 2018</dc:title>
  <dc:subject>publication</dc:subject>
  <dc:creator>Department of Health</dc:creator>
  <cp:keywords>Antibacterial Uses;World Health Organization (WHO) Critically Important Antimicrobials;</cp:keywords>
  <dc:description>The Importance Ratings and Summary of Antibacterial Uses in Human and Animal Health in Australia (the Australian Importance Ratings) now references and takes into account the World Health Organization’s Critically Important Antimicrobials for Human Medicines.</dc:description>
  <cp:lastModifiedBy>People Capability and Communication Division</cp:lastModifiedBy>
  <cp:revision>2</cp:revision>
  <cp:lastPrinted>2018-08-03T01:52:00Z</cp:lastPrinted>
  <dcterms:created xsi:type="dcterms:W3CDTF">2018-11-06T09:47:00Z</dcterms:created>
  <dcterms:modified xsi:type="dcterms:W3CDTF">2018-11-06T09:47:00Z</dcterms:modified>
  <cp:category>publications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b55235ed-5ca5-4ec6-8961-3a05ae543b2a,3;b55235ed-5ca5-4ec6-8961-3a05ae543b2a,3;b55235ed-5ca5-4ec6-8961-3a05ae543b2a,3;b55235ed-5ca5-4ec6-8961-3a05ae543b2a,3;</vt:lpwstr>
  </property>
</Properties>
</file>