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noProof/>
          <w:lang w:eastAsia="en-AU"/>
        </w:rPr>
        <w:id w:val="-956942914"/>
        <w:docPartObj>
          <w:docPartGallery w:val="Cover Pages"/>
          <w:docPartUnique/>
        </w:docPartObj>
      </w:sdtPr>
      <w:sdtEndPr>
        <w:rPr>
          <w:b/>
          <w:bCs/>
          <w:noProof w:val="0"/>
          <w:lang w:eastAsia="en-US"/>
        </w:rPr>
      </w:sdtEndPr>
      <w:sdtContent>
        <w:p w:rsidR="00095247" w:rsidRDefault="00095247" w:rsidP="00FF5863">
          <w:pPr>
            <w:ind w:firstLine="4678"/>
            <w:rPr>
              <w:noProof/>
              <w:lang w:eastAsia="en-AU"/>
            </w:rPr>
          </w:pPr>
          <w:r>
            <w:rPr>
              <w:noProof/>
              <w:lang w:eastAsia="en-AU"/>
            </w:rPr>
            <w:drawing>
              <wp:anchor distT="0" distB="0" distL="114300" distR="114300" simplePos="0" relativeHeight="251659264" behindDoc="0" locked="0" layoutInCell="1" allowOverlap="1" wp14:anchorId="70A8C247" wp14:editId="15320CB1">
                <wp:simplePos x="0" y="0"/>
                <wp:positionH relativeFrom="column">
                  <wp:posOffset>285750</wp:posOffset>
                </wp:positionH>
                <wp:positionV relativeFrom="paragraph">
                  <wp:posOffset>635</wp:posOffset>
                </wp:positionV>
                <wp:extent cx="2276475" cy="704215"/>
                <wp:effectExtent l="0" t="0" r="9525" b="635"/>
                <wp:wrapNone/>
                <wp:docPr id="3" name="Picture 3" descr="The Australian Government coat of arms and text reads Australian Government Department of Health" title="Australian Government Department of Health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The Australian Government coat of arms and text reads Australian Government Department of Health" title="Australian Government Department of Health logo"/>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6475" cy="7042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eastAsiaTheme="majorEastAsia" w:hAnsiTheme="majorHAnsi" w:cstheme="majorBidi"/>
              <w:caps/>
              <w:noProof/>
              <w:lang w:eastAsia="en-AU"/>
            </w:rPr>
            <w:drawing>
              <wp:inline distT="0" distB="0" distL="0" distR="0" wp14:anchorId="54FC3473" wp14:editId="6A750CA5">
                <wp:extent cx="2207934" cy="702310"/>
                <wp:effectExtent l="0" t="0" r="1905" b="2540"/>
                <wp:docPr id="2" name="Picture 2" descr="The Australian Government coat of arms and text reads Australian Government Department of Agriculture and Water Resources" title="Australian Government Department of Agriculture and Water Resource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The Australian Government coat of arms and text reads Australian Government Department of Agriculture and Water Resources" title="Australian Government Department of Agriculture and Water Resources logo"/>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7934" cy="702310"/>
                        </a:xfrm>
                        <a:prstGeom prst="rect">
                          <a:avLst/>
                        </a:prstGeom>
                        <a:noFill/>
                        <a:ln>
                          <a:noFill/>
                        </a:ln>
                      </pic:spPr>
                    </pic:pic>
                  </a:graphicData>
                </a:graphic>
              </wp:inline>
            </w:drawing>
          </w:r>
        </w:p>
        <w:p w:rsidR="00095247" w:rsidRDefault="00095247" w:rsidP="00095247">
          <w:pPr>
            <w:tabs>
              <w:tab w:val="left" w:pos="4820"/>
            </w:tabs>
            <w:spacing w:before="960"/>
            <w:jc w:val="right"/>
            <w:rPr>
              <w:noProof/>
              <w:lang w:eastAsia="en-AU"/>
            </w:rPr>
          </w:pPr>
        </w:p>
        <w:p w:rsidR="00C721CE" w:rsidRPr="00C721CE" w:rsidRDefault="00C721CE" w:rsidP="00C721CE">
          <w:pPr>
            <w:spacing w:before="1440"/>
            <w:jc w:val="center"/>
            <w:rPr>
              <w:rFonts w:asciiTheme="minorHAnsi" w:hAnsiTheme="minorHAnsi"/>
              <w:bCs/>
              <w:sz w:val="72"/>
              <w:szCs w:val="72"/>
            </w:rPr>
          </w:pPr>
          <w:r w:rsidRPr="00C721CE">
            <w:rPr>
              <w:rFonts w:asciiTheme="minorHAnsi" w:hAnsiTheme="minorHAnsi"/>
              <w:bCs/>
              <w:sz w:val="72"/>
              <w:szCs w:val="72"/>
            </w:rPr>
            <w:t>Australia’s First National Antimicrobial Resistance Strategy 2015-2019</w:t>
          </w:r>
        </w:p>
        <w:p w:rsidR="00C721CE" w:rsidRPr="00C721CE" w:rsidRDefault="00C721CE" w:rsidP="00C721CE">
          <w:pPr>
            <w:spacing w:before="840" w:after="840"/>
            <w:jc w:val="center"/>
            <w:rPr>
              <w:rFonts w:asciiTheme="minorHAnsi" w:hAnsiTheme="minorHAnsi"/>
              <w:bCs/>
              <w:sz w:val="48"/>
              <w:szCs w:val="48"/>
            </w:rPr>
          </w:pPr>
          <w:r w:rsidRPr="00C721CE">
            <w:rPr>
              <w:rFonts w:asciiTheme="minorHAnsi" w:hAnsiTheme="minorHAnsi"/>
              <w:bCs/>
              <w:sz w:val="48"/>
              <w:szCs w:val="48"/>
            </w:rPr>
            <w:t>Progress Report</w:t>
          </w:r>
        </w:p>
        <w:p w:rsidR="00C721CE" w:rsidRPr="00C721CE" w:rsidRDefault="00C721CE" w:rsidP="00C721CE">
          <w:pPr>
            <w:spacing w:before="5280"/>
            <w:jc w:val="center"/>
            <w:rPr>
              <w:rFonts w:asciiTheme="minorHAnsi" w:hAnsiTheme="minorHAnsi"/>
              <w:bCs/>
              <w:sz w:val="44"/>
              <w:szCs w:val="44"/>
            </w:rPr>
          </w:pPr>
          <w:r w:rsidRPr="00C721CE">
            <w:rPr>
              <w:rFonts w:asciiTheme="minorHAnsi" w:hAnsiTheme="minorHAnsi"/>
              <w:bCs/>
              <w:sz w:val="44"/>
              <w:szCs w:val="44"/>
            </w:rPr>
            <w:t>November 2017</w:t>
          </w:r>
        </w:p>
        <w:p w:rsidR="00AD0473" w:rsidRDefault="00AD0473" w:rsidP="005D70FF">
          <w:pPr>
            <w:ind w:firstLine="2694"/>
          </w:pPr>
          <w:r w:rsidRPr="00297A88">
            <w:rPr>
              <w:rFonts w:asciiTheme="minorHAnsi" w:hAnsiTheme="minorHAnsi"/>
              <w:b/>
              <w:bCs/>
            </w:rPr>
            <w:br w:type="page"/>
          </w:r>
        </w:p>
      </w:sdtContent>
    </w:sdt>
    <w:sdt>
      <w:sdtPr>
        <w:rPr>
          <w:rFonts w:ascii="Times New Roman" w:eastAsia="Times New Roman" w:hAnsi="Times New Roman" w:cs="Times New Roman"/>
          <w:b w:val="0"/>
          <w:bCs w:val="0"/>
          <w:color w:val="auto"/>
          <w:sz w:val="24"/>
          <w:szCs w:val="24"/>
          <w:lang w:val="en-AU" w:eastAsia="en-US"/>
        </w:rPr>
        <w:id w:val="-499112257"/>
        <w:docPartObj>
          <w:docPartGallery w:val="Table of Contents"/>
          <w:docPartUnique/>
        </w:docPartObj>
      </w:sdtPr>
      <w:sdtEndPr>
        <w:rPr>
          <w:rFonts w:asciiTheme="minorHAnsi" w:hAnsiTheme="minorHAnsi" w:cs="Arial"/>
          <w:noProof/>
        </w:rPr>
      </w:sdtEndPr>
      <w:sdtContent>
        <w:p w:rsidR="00F45A0F" w:rsidRPr="00671649" w:rsidRDefault="00F45A0F" w:rsidP="00902E66">
          <w:pPr>
            <w:pStyle w:val="TOCHeading"/>
          </w:pPr>
          <w:r w:rsidRPr="00671649">
            <w:t>Contents</w:t>
          </w:r>
        </w:p>
        <w:p w:rsidR="00283A21" w:rsidRPr="00EF01E2" w:rsidRDefault="00F45A0F" w:rsidP="00EF01E2">
          <w:pPr>
            <w:pStyle w:val="TOC1"/>
            <w:rPr>
              <w:rFonts w:eastAsiaTheme="minorEastAsia" w:cstheme="minorBidi"/>
              <w:sz w:val="22"/>
              <w:szCs w:val="22"/>
              <w:lang w:eastAsia="en-AU"/>
            </w:rPr>
          </w:pPr>
          <w:r w:rsidRPr="00EF01E2">
            <w:rPr>
              <w:rFonts w:cs="Arial"/>
            </w:rPr>
            <w:fldChar w:fldCharType="begin"/>
          </w:r>
          <w:r w:rsidRPr="00EF01E2">
            <w:rPr>
              <w:rFonts w:cs="Arial"/>
            </w:rPr>
            <w:instrText xml:space="preserve"> TOC \o "1-3" \h \z \u </w:instrText>
          </w:r>
          <w:r w:rsidRPr="00EF01E2">
            <w:rPr>
              <w:rFonts w:cs="Arial"/>
            </w:rPr>
            <w:fldChar w:fldCharType="separate"/>
          </w:r>
          <w:hyperlink w:anchor="_Toc498070409" w:history="1">
            <w:r w:rsidR="00283A21" w:rsidRPr="00EF01E2">
              <w:rPr>
                <w:rStyle w:val="Hyperlink"/>
              </w:rPr>
              <w:t>Foreword</w:t>
            </w:r>
            <w:r w:rsidR="00283A21" w:rsidRPr="00EF01E2">
              <w:rPr>
                <w:webHidden/>
              </w:rPr>
              <w:tab/>
            </w:r>
            <w:r w:rsidR="00283A21" w:rsidRPr="00EF01E2">
              <w:rPr>
                <w:webHidden/>
              </w:rPr>
              <w:fldChar w:fldCharType="begin"/>
            </w:r>
            <w:r w:rsidR="00283A21" w:rsidRPr="00EF01E2">
              <w:rPr>
                <w:webHidden/>
              </w:rPr>
              <w:instrText xml:space="preserve"> PAGEREF _Toc498070409 \h </w:instrText>
            </w:r>
            <w:r w:rsidR="00283A21" w:rsidRPr="00EF01E2">
              <w:rPr>
                <w:webHidden/>
              </w:rPr>
            </w:r>
            <w:r w:rsidR="00283A21" w:rsidRPr="00EF01E2">
              <w:rPr>
                <w:webHidden/>
              </w:rPr>
              <w:fldChar w:fldCharType="separate"/>
            </w:r>
            <w:r w:rsidR="00937F13">
              <w:rPr>
                <w:webHidden/>
              </w:rPr>
              <w:t>2</w:t>
            </w:r>
            <w:r w:rsidR="00283A21" w:rsidRPr="00EF01E2">
              <w:rPr>
                <w:webHidden/>
              </w:rPr>
              <w:fldChar w:fldCharType="end"/>
            </w:r>
          </w:hyperlink>
        </w:p>
        <w:p w:rsidR="00283A21" w:rsidRPr="00EF01E2" w:rsidRDefault="00445D1A" w:rsidP="00EF01E2">
          <w:pPr>
            <w:pStyle w:val="TOC1"/>
            <w:rPr>
              <w:rFonts w:eastAsiaTheme="minorEastAsia" w:cstheme="minorBidi"/>
              <w:sz w:val="22"/>
              <w:szCs w:val="22"/>
              <w:lang w:eastAsia="en-AU"/>
            </w:rPr>
          </w:pPr>
          <w:hyperlink w:anchor="_Toc498070410" w:history="1">
            <w:r w:rsidR="00283A21" w:rsidRPr="00EF01E2">
              <w:rPr>
                <w:rStyle w:val="Hyperlink"/>
              </w:rPr>
              <w:t>Introduction</w:t>
            </w:r>
            <w:r w:rsidR="00283A21" w:rsidRPr="00EF01E2">
              <w:rPr>
                <w:webHidden/>
              </w:rPr>
              <w:tab/>
            </w:r>
            <w:r w:rsidR="00283A21" w:rsidRPr="00EF01E2">
              <w:rPr>
                <w:webHidden/>
              </w:rPr>
              <w:fldChar w:fldCharType="begin"/>
            </w:r>
            <w:r w:rsidR="00283A21" w:rsidRPr="00EF01E2">
              <w:rPr>
                <w:webHidden/>
              </w:rPr>
              <w:instrText xml:space="preserve"> PAGEREF _Toc498070410 \h </w:instrText>
            </w:r>
            <w:r w:rsidR="00283A21" w:rsidRPr="00EF01E2">
              <w:rPr>
                <w:webHidden/>
              </w:rPr>
            </w:r>
            <w:r w:rsidR="00283A21" w:rsidRPr="00EF01E2">
              <w:rPr>
                <w:webHidden/>
              </w:rPr>
              <w:fldChar w:fldCharType="separate"/>
            </w:r>
            <w:r w:rsidR="00937F13">
              <w:rPr>
                <w:webHidden/>
              </w:rPr>
              <w:t>3</w:t>
            </w:r>
            <w:r w:rsidR="00283A21" w:rsidRPr="00EF01E2">
              <w:rPr>
                <w:webHidden/>
              </w:rPr>
              <w:fldChar w:fldCharType="end"/>
            </w:r>
          </w:hyperlink>
        </w:p>
        <w:p w:rsidR="00283A21" w:rsidRPr="00EF01E2" w:rsidRDefault="00445D1A" w:rsidP="00EF01E2">
          <w:pPr>
            <w:pStyle w:val="TOC1"/>
            <w:rPr>
              <w:rFonts w:eastAsiaTheme="minorEastAsia" w:cstheme="minorBidi"/>
              <w:sz w:val="22"/>
              <w:szCs w:val="22"/>
              <w:lang w:eastAsia="en-AU"/>
            </w:rPr>
          </w:pPr>
          <w:hyperlink w:anchor="_Toc498070411" w:history="1">
            <w:r w:rsidR="00283A21" w:rsidRPr="00EF01E2">
              <w:rPr>
                <w:rStyle w:val="Hyperlink"/>
              </w:rPr>
              <w:t>Current Trends</w:t>
            </w:r>
            <w:r w:rsidR="00283A21" w:rsidRPr="00EF01E2">
              <w:rPr>
                <w:webHidden/>
              </w:rPr>
              <w:tab/>
            </w:r>
            <w:r w:rsidR="00283A21" w:rsidRPr="00EF01E2">
              <w:rPr>
                <w:webHidden/>
              </w:rPr>
              <w:fldChar w:fldCharType="begin"/>
            </w:r>
            <w:r w:rsidR="00283A21" w:rsidRPr="00EF01E2">
              <w:rPr>
                <w:webHidden/>
              </w:rPr>
              <w:instrText xml:space="preserve"> PAGEREF _Toc498070411 \h </w:instrText>
            </w:r>
            <w:r w:rsidR="00283A21" w:rsidRPr="00EF01E2">
              <w:rPr>
                <w:webHidden/>
              </w:rPr>
            </w:r>
            <w:r w:rsidR="00283A21" w:rsidRPr="00EF01E2">
              <w:rPr>
                <w:webHidden/>
              </w:rPr>
              <w:fldChar w:fldCharType="separate"/>
            </w:r>
            <w:r w:rsidR="00937F13">
              <w:rPr>
                <w:webHidden/>
              </w:rPr>
              <w:t>4</w:t>
            </w:r>
            <w:r w:rsidR="00283A21" w:rsidRPr="00EF01E2">
              <w:rPr>
                <w:webHidden/>
              </w:rPr>
              <w:fldChar w:fldCharType="end"/>
            </w:r>
          </w:hyperlink>
        </w:p>
        <w:p w:rsidR="00283A21" w:rsidRPr="00EF01E2" w:rsidRDefault="00445D1A" w:rsidP="00EF01E2">
          <w:pPr>
            <w:pStyle w:val="TOC2"/>
            <w:rPr>
              <w:rFonts w:eastAsiaTheme="minorEastAsia" w:cstheme="minorBidi"/>
              <w:sz w:val="22"/>
              <w:szCs w:val="22"/>
              <w:lang w:eastAsia="en-AU"/>
            </w:rPr>
          </w:pPr>
          <w:hyperlink w:anchor="_Toc498070412" w:history="1">
            <w:r w:rsidR="00283A21" w:rsidRPr="00EF01E2">
              <w:rPr>
                <w:rStyle w:val="Hyperlink"/>
              </w:rPr>
              <w:t>Antibiotic resistance</w:t>
            </w:r>
            <w:r w:rsidR="00283A21" w:rsidRPr="00EF01E2">
              <w:rPr>
                <w:webHidden/>
              </w:rPr>
              <w:tab/>
            </w:r>
            <w:r w:rsidR="00283A21" w:rsidRPr="00EF01E2">
              <w:rPr>
                <w:webHidden/>
              </w:rPr>
              <w:fldChar w:fldCharType="begin"/>
            </w:r>
            <w:r w:rsidR="00283A21" w:rsidRPr="00EF01E2">
              <w:rPr>
                <w:webHidden/>
              </w:rPr>
              <w:instrText xml:space="preserve"> PAGEREF _Toc498070412 \h </w:instrText>
            </w:r>
            <w:r w:rsidR="00283A21" w:rsidRPr="00EF01E2">
              <w:rPr>
                <w:webHidden/>
              </w:rPr>
            </w:r>
            <w:r w:rsidR="00283A21" w:rsidRPr="00EF01E2">
              <w:rPr>
                <w:webHidden/>
              </w:rPr>
              <w:fldChar w:fldCharType="separate"/>
            </w:r>
            <w:r w:rsidR="00937F13">
              <w:rPr>
                <w:webHidden/>
              </w:rPr>
              <w:t>4</w:t>
            </w:r>
            <w:r w:rsidR="00283A21" w:rsidRPr="00EF01E2">
              <w:rPr>
                <w:webHidden/>
              </w:rPr>
              <w:fldChar w:fldCharType="end"/>
            </w:r>
          </w:hyperlink>
        </w:p>
        <w:p w:rsidR="00283A21" w:rsidRPr="00EF01E2" w:rsidRDefault="00445D1A" w:rsidP="00EF01E2">
          <w:pPr>
            <w:pStyle w:val="TOC2"/>
            <w:rPr>
              <w:rFonts w:eastAsiaTheme="minorEastAsia" w:cstheme="minorBidi"/>
              <w:sz w:val="22"/>
              <w:szCs w:val="22"/>
              <w:lang w:eastAsia="en-AU"/>
            </w:rPr>
          </w:pPr>
          <w:hyperlink w:anchor="_Toc498070413" w:history="1">
            <w:r w:rsidR="00283A21" w:rsidRPr="00EF01E2">
              <w:rPr>
                <w:rStyle w:val="Hyperlink"/>
              </w:rPr>
              <w:t>Antibiotic use</w:t>
            </w:r>
            <w:r w:rsidR="00283A21" w:rsidRPr="00EF01E2">
              <w:rPr>
                <w:webHidden/>
              </w:rPr>
              <w:tab/>
            </w:r>
            <w:r w:rsidR="00283A21" w:rsidRPr="00EF01E2">
              <w:rPr>
                <w:webHidden/>
              </w:rPr>
              <w:fldChar w:fldCharType="begin"/>
            </w:r>
            <w:r w:rsidR="00283A21" w:rsidRPr="00EF01E2">
              <w:rPr>
                <w:webHidden/>
              </w:rPr>
              <w:instrText xml:space="preserve"> PAGEREF _Toc498070413 \h </w:instrText>
            </w:r>
            <w:r w:rsidR="00283A21" w:rsidRPr="00EF01E2">
              <w:rPr>
                <w:webHidden/>
              </w:rPr>
            </w:r>
            <w:r w:rsidR="00283A21" w:rsidRPr="00EF01E2">
              <w:rPr>
                <w:webHidden/>
              </w:rPr>
              <w:fldChar w:fldCharType="separate"/>
            </w:r>
            <w:r w:rsidR="00937F13">
              <w:rPr>
                <w:webHidden/>
              </w:rPr>
              <w:t>5</w:t>
            </w:r>
            <w:r w:rsidR="00283A21" w:rsidRPr="00EF01E2">
              <w:rPr>
                <w:webHidden/>
              </w:rPr>
              <w:fldChar w:fldCharType="end"/>
            </w:r>
          </w:hyperlink>
        </w:p>
        <w:p w:rsidR="00283A21" w:rsidRPr="00EF01E2" w:rsidRDefault="00445D1A" w:rsidP="00EF01E2">
          <w:pPr>
            <w:pStyle w:val="TOC1"/>
            <w:rPr>
              <w:rFonts w:eastAsiaTheme="minorEastAsia" w:cstheme="minorBidi"/>
              <w:sz w:val="22"/>
              <w:szCs w:val="22"/>
              <w:lang w:eastAsia="en-AU"/>
            </w:rPr>
          </w:pPr>
          <w:hyperlink w:anchor="_Toc498070414" w:history="1">
            <w:r w:rsidR="00283A21" w:rsidRPr="00EF01E2">
              <w:rPr>
                <w:rStyle w:val="Hyperlink"/>
              </w:rPr>
              <w:t>Progress against the Objectives of the National AMR Strategy 2015-19</w:t>
            </w:r>
            <w:r w:rsidR="00283A21" w:rsidRPr="00EF01E2">
              <w:rPr>
                <w:webHidden/>
              </w:rPr>
              <w:tab/>
            </w:r>
            <w:r w:rsidR="00283A21" w:rsidRPr="00EF01E2">
              <w:rPr>
                <w:webHidden/>
              </w:rPr>
              <w:fldChar w:fldCharType="begin"/>
            </w:r>
            <w:r w:rsidR="00283A21" w:rsidRPr="00EF01E2">
              <w:rPr>
                <w:webHidden/>
              </w:rPr>
              <w:instrText xml:space="preserve"> PAGEREF _Toc498070414 \h </w:instrText>
            </w:r>
            <w:r w:rsidR="00283A21" w:rsidRPr="00EF01E2">
              <w:rPr>
                <w:webHidden/>
              </w:rPr>
            </w:r>
            <w:r w:rsidR="00283A21" w:rsidRPr="00EF01E2">
              <w:rPr>
                <w:webHidden/>
              </w:rPr>
              <w:fldChar w:fldCharType="separate"/>
            </w:r>
            <w:r w:rsidR="00937F13">
              <w:rPr>
                <w:webHidden/>
              </w:rPr>
              <w:t>7</w:t>
            </w:r>
            <w:r w:rsidR="00283A21" w:rsidRPr="00EF01E2">
              <w:rPr>
                <w:webHidden/>
              </w:rPr>
              <w:fldChar w:fldCharType="end"/>
            </w:r>
          </w:hyperlink>
        </w:p>
        <w:p w:rsidR="00283A21" w:rsidRPr="00EF01E2" w:rsidRDefault="00445D1A" w:rsidP="00EF01E2">
          <w:pPr>
            <w:pStyle w:val="TOC2"/>
            <w:spacing w:before="120"/>
            <w:rPr>
              <w:rFonts w:eastAsiaTheme="minorEastAsia" w:cstheme="minorBidi"/>
              <w:sz w:val="22"/>
              <w:szCs w:val="22"/>
              <w:lang w:eastAsia="en-AU"/>
            </w:rPr>
          </w:pPr>
          <w:hyperlink w:anchor="_Toc498070415" w:history="1">
            <w:r w:rsidR="00283A21" w:rsidRPr="00EF01E2">
              <w:rPr>
                <w:rStyle w:val="Hyperlink"/>
              </w:rPr>
              <w:t>Objective 1: Increase awareness and understanding of AMR, its implications and actions to combat it, through effective communication, education and training.</w:t>
            </w:r>
            <w:r w:rsidR="00283A21" w:rsidRPr="00EF01E2">
              <w:rPr>
                <w:webHidden/>
              </w:rPr>
              <w:tab/>
            </w:r>
            <w:r w:rsidR="00283A21" w:rsidRPr="00EF01E2">
              <w:rPr>
                <w:webHidden/>
              </w:rPr>
              <w:fldChar w:fldCharType="begin"/>
            </w:r>
            <w:r w:rsidR="00283A21" w:rsidRPr="00EF01E2">
              <w:rPr>
                <w:webHidden/>
              </w:rPr>
              <w:instrText xml:space="preserve"> PAGEREF _Toc498070415 \h </w:instrText>
            </w:r>
            <w:r w:rsidR="00283A21" w:rsidRPr="00EF01E2">
              <w:rPr>
                <w:webHidden/>
              </w:rPr>
            </w:r>
            <w:r w:rsidR="00283A21" w:rsidRPr="00EF01E2">
              <w:rPr>
                <w:webHidden/>
              </w:rPr>
              <w:fldChar w:fldCharType="separate"/>
            </w:r>
            <w:r w:rsidR="00937F13">
              <w:rPr>
                <w:webHidden/>
              </w:rPr>
              <w:t>7</w:t>
            </w:r>
            <w:r w:rsidR="00283A21" w:rsidRPr="00EF01E2">
              <w:rPr>
                <w:webHidden/>
              </w:rPr>
              <w:fldChar w:fldCharType="end"/>
            </w:r>
          </w:hyperlink>
        </w:p>
        <w:p w:rsidR="00283A21" w:rsidRPr="00EF01E2" w:rsidRDefault="00445D1A" w:rsidP="00EF01E2">
          <w:pPr>
            <w:pStyle w:val="TOC2"/>
            <w:spacing w:before="120"/>
            <w:rPr>
              <w:rFonts w:eastAsiaTheme="minorEastAsia" w:cstheme="minorBidi"/>
              <w:sz w:val="22"/>
              <w:szCs w:val="22"/>
              <w:lang w:eastAsia="en-AU"/>
            </w:rPr>
          </w:pPr>
          <w:hyperlink w:anchor="_Toc498070416" w:history="1">
            <w:r w:rsidR="00283A21" w:rsidRPr="00EF01E2">
              <w:rPr>
                <w:rStyle w:val="Hyperlink"/>
                <w:rFonts w:eastAsia="Calibri"/>
              </w:rPr>
              <w:t xml:space="preserve">Objective 2: </w:t>
            </w:r>
            <w:r w:rsidR="00283A21" w:rsidRPr="00EF01E2">
              <w:rPr>
                <w:rStyle w:val="Hyperlink"/>
              </w:rPr>
              <w:t>Implement effective antimicrobial stewardship practices across human health and animal care settings to ensure the appropriate and judicious prescribing, dispensing and administering of antimicrobials.</w:t>
            </w:r>
            <w:r w:rsidR="00283A21" w:rsidRPr="00EF01E2">
              <w:rPr>
                <w:webHidden/>
              </w:rPr>
              <w:tab/>
            </w:r>
            <w:r w:rsidR="00283A21" w:rsidRPr="00EF01E2">
              <w:rPr>
                <w:webHidden/>
              </w:rPr>
              <w:fldChar w:fldCharType="begin"/>
            </w:r>
            <w:r w:rsidR="00283A21" w:rsidRPr="00EF01E2">
              <w:rPr>
                <w:webHidden/>
              </w:rPr>
              <w:instrText xml:space="preserve"> PAGEREF _Toc498070416 \h </w:instrText>
            </w:r>
            <w:r w:rsidR="00283A21" w:rsidRPr="00EF01E2">
              <w:rPr>
                <w:webHidden/>
              </w:rPr>
            </w:r>
            <w:r w:rsidR="00283A21" w:rsidRPr="00EF01E2">
              <w:rPr>
                <w:webHidden/>
              </w:rPr>
              <w:fldChar w:fldCharType="separate"/>
            </w:r>
            <w:r w:rsidR="00937F13">
              <w:rPr>
                <w:webHidden/>
              </w:rPr>
              <w:t>11</w:t>
            </w:r>
            <w:r w:rsidR="00283A21" w:rsidRPr="00EF01E2">
              <w:rPr>
                <w:webHidden/>
              </w:rPr>
              <w:fldChar w:fldCharType="end"/>
            </w:r>
          </w:hyperlink>
        </w:p>
        <w:p w:rsidR="00283A21" w:rsidRPr="00EF01E2" w:rsidRDefault="00445D1A" w:rsidP="00EF01E2">
          <w:pPr>
            <w:pStyle w:val="TOC2"/>
            <w:spacing w:before="120"/>
            <w:rPr>
              <w:rFonts w:eastAsiaTheme="minorEastAsia" w:cstheme="minorBidi"/>
              <w:sz w:val="22"/>
              <w:szCs w:val="22"/>
              <w:lang w:eastAsia="en-AU"/>
            </w:rPr>
          </w:pPr>
          <w:hyperlink w:anchor="_Toc498070417" w:history="1">
            <w:r w:rsidR="00283A21" w:rsidRPr="00EF01E2">
              <w:rPr>
                <w:rStyle w:val="Hyperlink"/>
                <w:rFonts w:eastAsia="Calibri"/>
              </w:rPr>
              <w:t xml:space="preserve">Objective 3: </w:t>
            </w:r>
            <w:r w:rsidR="00283A21" w:rsidRPr="00EF01E2">
              <w:rPr>
                <w:rStyle w:val="Hyperlink"/>
                <w:rFonts w:cs="Antique Olive CE"/>
              </w:rPr>
              <w:t xml:space="preserve">Develop nationally coordinated One Health </w:t>
            </w:r>
            <w:r w:rsidR="00283A21" w:rsidRPr="00EF01E2">
              <w:rPr>
                <w:rStyle w:val="Hyperlink"/>
              </w:rPr>
              <w:t>surveillance of AMR and antimicrobial usage.</w:t>
            </w:r>
            <w:r w:rsidR="00283A21" w:rsidRPr="00EF01E2">
              <w:rPr>
                <w:webHidden/>
              </w:rPr>
              <w:tab/>
            </w:r>
            <w:r w:rsidR="00283A21" w:rsidRPr="00EF01E2">
              <w:rPr>
                <w:webHidden/>
              </w:rPr>
              <w:fldChar w:fldCharType="begin"/>
            </w:r>
            <w:r w:rsidR="00283A21" w:rsidRPr="00EF01E2">
              <w:rPr>
                <w:webHidden/>
              </w:rPr>
              <w:instrText xml:space="preserve"> PAGEREF _Toc498070417 \h </w:instrText>
            </w:r>
            <w:r w:rsidR="00283A21" w:rsidRPr="00EF01E2">
              <w:rPr>
                <w:webHidden/>
              </w:rPr>
            </w:r>
            <w:r w:rsidR="00283A21" w:rsidRPr="00EF01E2">
              <w:rPr>
                <w:webHidden/>
              </w:rPr>
              <w:fldChar w:fldCharType="separate"/>
            </w:r>
            <w:r w:rsidR="00937F13">
              <w:rPr>
                <w:webHidden/>
              </w:rPr>
              <w:t>15</w:t>
            </w:r>
            <w:r w:rsidR="00283A21" w:rsidRPr="00EF01E2">
              <w:rPr>
                <w:webHidden/>
              </w:rPr>
              <w:fldChar w:fldCharType="end"/>
            </w:r>
          </w:hyperlink>
        </w:p>
        <w:p w:rsidR="00283A21" w:rsidRPr="00EF01E2" w:rsidRDefault="00445D1A" w:rsidP="00EF01E2">
          <w:pPr>
            <w:pStyle w:val="TOC2"/>
            <w:spacing w:before="120"/>
            <w:rPr>
              <w:rFonts w:eastAsiaTheme="minorEastAsia" w:cstheme="minorBidi"/>
              <w:sz w:val="22"/>
              <w:szCs w:val="22"/>
              <w:lang w:eastAsia="en-AU"/>
            </w:rPr>
          </w:pPr>
          <w:hyperlink w:anchor="_Toc498070418" w:history="1">
            <w:r w:rsidR="00283A21" w:rsidRPr="00EF01E2">
              <w:rPr>
                <w:rStyle w:val="Hyperlink"/>
                <w:rFonts w:eastAsia="Calibri"/>
              </w:rPr>
              <w:t xml:space="preserve">Objective 4: </w:t>
            </w:r>
            <w:r w:rsidR="00283A21" w:rsidRPr="00EF01E2">
              <w:rPr>
                <w:rStyle w:val="Hyperlink"/>
              </w:rPr>
              <w:t>Improve infection prevention and control measures across human health and animal care settings to help prevent infections and the spread of resistance.</w:t>
            </w:r>
            <w:r w:rsidR="00283A21" w:rsidRPr="00EF01E2">
              <w:rPr>
                <w:webHidden/>
              </w:rPr>
              <w:tab/>
            </w:r>
            <w:r w:rsidR="00283A21" w:rsidRPr="00EF01E2">
              <w:rPr>
                <w:webHidden/>
              </w:rPr>
              <w:fldChar w:fldCharType="begin"/>
            </w:r>
            <w:r w:rsidR="00283A21" w:rsidRPr="00EF01E2">
              <w:rPr>
                <w:webHidden/>
              </w:rPr>
              <w:instrText xml:space="preserve"> PAGEREF _Toc498070418 \h </w:instrText>
            </w:r>
            <w:r w:rsidR="00283A21" w:rsidRPr="00EF01E2">
              <w:rPr>
                <w:webHidden/>
              </w:rPr>
            </w:r>
            <w:r w:rsidR="00283A21" w:rsidRPr="00EF01E2">
              <w:rPr>
                <w:webHidden/>
              </w:rPr>
              <w:fldChar w:fldCharType="separate"/>
            </w:r>
            <w:r w:rsidR="00937F13">
              <w:rPr>
                <w:webHidden/>
              </w:rPr>
              <w:t>19</w:t>
            </w:r>
            <w:r w:rsidR="00283A21" w:rsidRPr="00EF01E2">
              <w:rPr>
                <w:webHidden/>
              </w:rPr>
              <w:fldChar w:fldCharType="end"/>
            </w:r>
          </w:hyperlink>
        </w:p>
        <w:p w:rsidR="00283A21" w:rsidRPr="00EF01E2" w:rsidRDefault="00445D1A" w:rsidP="00EF01E2">
          <w:pPr>
            <w:pStyle w:val="TOC2"/>
            <w:spacing w:before="120"/>
            <w:rPr>
              <w:rFonts w:eastAsiaTheme="minorEastAsia" w:cstheme="minorBidi"/>
              <w:sz w:val="22"/>
              <w:szCs w:val="22"/>
              <w:lang w:eastAsia="en-AU"/>
            </w:rPr>
          </w:pPr>
          <w:hyperlink w:anchor="_Toc498070419" w:history="1">
            <w:r w:rsidR="00283A21" w:rsidRPr="00EF01E2">
              <w:rPr>
                <w:rStyle w:val="Hyperlink"/>
              </w:rPr>
              <w:t>Objective 5: Agree a national research agenda and promote investment in the development of new products and approaches to prevent, detect and contain AMR.</w:t>
            </w:r>
            <w:r w:rsidR="00283A21" w:rsidRPr="00EF01E2">
              <w:rPr>
                <w:webHidden/>
              </w:rPr>
              <w:tab/>
            </w:r>
            <w:r w:rsidR="00283A21" w:rsidRPr="00EF01E2">
              <w:rPr>
                <w:webHidden/>
              </w:rPr>
              <w:fldChar w:fldCharType="begin"/>
            </w:r>
            <w:r w:rsidR="00283A21" w:rsidRPr="00EF01E2">
              <w:rPr>
                <w:webHidden/>
              </w:rPr>
              <w:instrText xml:space="preserve"> PAGEREF _Toc498070419 \h </w:instrText>
            </w:r>
            <w:r w:rsidR="00283A21" w:rsidRPr="00EF01E2">
              <w:rPr>
                <w:webHidden/>
              </w:rPr>
            </w:r>
            <w:r w:rsidR="00283A21" w:rsidRPr="00EF01E2">
              <w:rPr>
                <w:webHidden/>
              </w:rPr>
              <w:fldChar w:fldCharType="separate"/>
            </w:r>
            <w:r w:rsidR="00937F13">
              <w:rPr>
                <w:webHidden/>
              </w:rPr>
              <w:t>22</w:t>
            </w:r>
            <w:r w:rsidR="00283A21" w:rsidRPr="00EF01E2">
              <w:rPr>
                <w:webHidden/>
              </w:rPr>
              <w:fldChar w:fldCharType="end"/>
            </w:r>
          </w:hyperlink>
        </w:p>
        <w:p w:rsidR="00283A21" w:rsidRPr="00EF01E2" w:rsidRDefault="00445D1A" w:rsidP="00EF01E2">
          <w:pPr>
            <w:pStyle w:val="TOC2"/>
            <w:spacing w:before="120"/>
            <w:rPr>
              <w:rFonts w:eastAsiaTheme="minorEastAsia" w:cstheme="minorBidi"/>
              <w:sz w:val="22"/>
              <w:szCs w:val="22"/>
              <w:lang w:eastAsia="en-AU"/>
            </w:rPr>
          </w:pPr>
          <w:hyperlink w:anchor="_Toc498070420" w:history="1">
            <w:r w:rsidR="00283A21" w:rsidRPr="00EF01E2">
              <w:rPr>
                <w:rStyle w:val="Hyperlink"/>
              </w:rPr>
              <w:t>Objective 6: Strengthen international partnerships and collaboration on regional and global efforts to respond to AMR.</w:t>
            </w:r>
            <w:r w:rsidR="00283A21" w:rsidRPr="00EF01E2">
              <w:rPr>
                <w:webHidden/>
              </w:rPr>
              <w:tab/>
            </w:r>
            <w:r w:rsidR="00283A21" w:rsidRPr="00EF01E2">
              <w:rPr>
                <w:webHidden/>
              </w:rPr>
              <w:fldChar w:fldCharType="begin"/>
            </w:r>
            <w:r w:rsidR="00283A21" w:rsidRPr="00EF01E2">
              <w:rPr>
                <w:webHidden/>
              </w:rPr>
              <w:instrText xml:space="preserve"> PAGEREF _Toc498070420 \h </w:instrText>
            </w:r>
            <w:r w:rsidR="00283A21" w:rsidRPr="00EF01E2">
              <w:rPr>
                <w:webHidden/>
              </w:rPr>
            </w:r>
            <w:r w:rsidR="00283A21" w:rsidRPr="00EF01E2">
              <w:rPr>
                <w:webHidden/>
              </w:rPr>
              <w:fldChar w:fldCharType="separate"/>
            </w:r>
            <w:r w:rsidR="00937F13">
              <w:rPr>
                <w:webHidden/>
              </w:rPr>
              <w:t>26</w:t>
            </w:r>
            <w:r w:rsidR="00283A21" w:rsidRPr="00EF01E2">
              <w:rPr>
                <w:webHidden/>
              </w:rPr>
              <w:fldChar w:fldCharType="end"/>
            </w:r>
          </w:hyperlink>
        </w:p>
        <w:p w:rsidR="00283A21" w:rsidRPr="00EF01E2" w:rsidRDefault="00445D1A" w:rsidP="00EF01E2">
          <w:pPr>
            <w:pStyle w:val="TOC2"/>
            <w:spacing w:before="120"/>
            <w:rPr>
              <w:rFonts w:eastAsiaTheme="minorEastAsia" w:cstheme="minorBidi"/>
              <w:sz w:val="22"/>
              <w:szCs w:val="22"/>
              <w:lang w:eastAsia="en-AU"/>
            </w:rPr>
          </w:pPr>
          <w:hyperlink w:anchor="_Toc498070421" w:history="1">
            <w:r w:rsidR="00283A21" w:rsidRPr="00EF01E2">
              <w:rPr>
                <w:rStyle w:val="Hyperlink"/>
              </w:rPr>
              <w:t>Objective 7: Establish and support clear governance arrangements at the local, jurisdictional, national and international levels to ensure leadership, engagement and accountability for actions to combat AMR.</w:t>
            </w:r>
            <w:r w:rsidR="00283A21" w:rsidRPr="00EF01E2">
              <w:rPr>
                <w:webHidden/>
              </w:rPr>
              <w:tab/>
            </w:r>
            <w:r w:rsidR="00283A21" w:rsidRPr="00EF01E2">
              <w:rPr>
                <w:webHidden/>
              </w:rPr>
              <w:fldChar w:fldCharType="begin"/>
            </w:r>
            <w:r w:rsidR="00283A21" w:rsidRPr="00EF01E2">
              <w:rPr>
                <w:webHidden/>
              </w:rPr>
              <w:instrText xml:space="preserve"> PAGEREF _Toc498070421 \h </w:instrText>
            </w:r>
            <w:r w:rsidR="00283A21" w:rsidRPr="00EF01E2">
              <w:rPr>
                <w:webHidden/>
              </w:rPr>
            </w:r>
            <w:r w:rsidR="00283A21" w:rsidRPr="00EF01E2">
              <w:rPr>
                <w:webHidden/>
              </w:rPr>
              <w:fldChar w:fldCharType="separate"/>
            </w:r>
            <w:r w:rsidR="00937F13">
              <w:rPr>
                <w:webHidden/>
              </w:rPr>
              <w:t>29</w:t>
            </w:r>
            <w:r w:rsidR="00283A21" w:rsidRPr="00EF01E2">
              <w:rPr>
                <w:webHidden/>
              </w:rPr>
              <w:fldChar w:fldCharType="end"/>
            </w:r>
          </w:hyperlink>
        </w:p>
        <w:p w:rsidR="00283A21" w:rsidRPr="00EF01E2" w:rsidRDefault="00445D1A" w:rsidP="00EF01E2">
          <w:pPr>
            <w:pStyle w:val="TOC1"/>
            <w:rPr>
              <w:rFonts w:eastAsiaTheme="minorEastAsia" w:cstheme="minorBidi"/>
              <w:sz w:val="22"/>
              <w:szCs w:val="22"/>
              <w:lang w:eastAsia="en-AU"/>
            </w:rPr>
          </w:pPr>
          <w:hyperlink w:anchor="_Toc498070422" w:history="1">
            <w:r w:rsidR="00283A21" w:rsidRPr="00EF01E2">
              <w:rPr>
                <w:rStyle w:val="Hyperlink"/>
              </w:rPr>
              <w:t>Next Steps</w:t>
            </w:r>
            <w:r w:rsidR="00283A21" w:rsidRPr="00EF01E2">
              <w:rPr>
                <w:webHidden/>
              </w:rPr>
              <w:tab/>
            </w:r>
            <w:r w:rsidR="00283A21" w:rsidRPr="00EF01E2">
              <w:rPr>
                <w:webHidden/>
              </w:rPr>
              <w:fldChar w:fldCharType="begin"/>
            </w:r>
            <w:r w:rsidR="00283A21" w:rsidRPr="00EF01E2">
              <w:rPr>
                <w:webHidden/>
              </w:rPr>
              <w:instrText xml:space="preserve"> PAGEREF _Toc498070422 \h </w:instrText>
            </w:r>
            <w:r w:rsidR="00283A21" w:rsidRPr="00EF01E2">
              <w:rPr>
                <w:webHidden/>
              </w:rPr>
            </w:r>
            <w:r w:rsidR="00283A21" w:rsidRPr="00EF01E2">
              <w:rPr>
                <w:webHidden/>
              </w:rPr>
              <w:fldChar w:fldCharType="separate"/>
            </w:r>
            <w:r w:rsidR="00937F13">
              <w:rPr>
                <w:webHidden/>
              </w:rPr>
              <w:t>31</w:t>
            </w:r>
            <w:r w:rsidR="00283A21" w:rsidRPr="00EF01E2">
              <w:rPr>
                <w:webHidden/>
              </w:rPr>
              <w:fldChar w:fldCharType="end"/>
            </w:r>
          </w:hyperlink>
        </w:p>
        <w:p w:rsidR="00283A21" w:rsidRPr="00EF01E2" w:rsidRDefault="00445D1A" w:rsidP="00EF01E2">
          <w:pPr>
            <w:pStyle w:val="TOC1"/>
            <w:rPr>
              <w:rFonts w:eastAsiaTheme="minorEastAsia" w:cstheme="minorBidi"/>
              <w:sz w:val="22"/>
              <w:szCs w:val="22"/>
              <w:lang w:eastAsia="en-AU"/>
            </w:rPr>
          </w:pPr>
          <w:hyperlink w:anchor="_Toc498070423" w:history="1">
            <w:r w:rsidR="00283A21" w:rsidRPr="00EF01E2">
              <w:rPr>
                <w:rStyle w:val="Hyperlink"/>
              </w:rPr>
              <w:t>Summary of key achievements</w:t>
            </w:r>
            <w:r w:rsidR="00283A21" w:rsidRPr="00EF01E2">
              <w:rPr>
                <w:webHidden/>
              </w:rPr>
              <w:tab/>
            </w:r>
            <w:r w:rsidR="00283A21" w:rsidRPr="00EF01E2">
              <w:rPr>
                <w:webHidden/>
              </w:rPr>
              <w:fldChar w:fldCharType="begin"/>
            </w:r>
            <w:r w:rsidR="00283A21" w:rsidRPr="00EF01E2">
              <w:rPr>
                <w:webHidden/>
              </w:rPr>
              <w:instrText xml:space="preserve"> PAGEREF _Toc498070423 \h </w:instrText>
            </w:r>
            <w:r w:rsidR="00283A21" w:rsidRPr="00EF01E2">
              <w:rPr>
                <w:webHidden/>
              </w:rPr>
            </w:r>
            <w:r w:rsidR="00283A21" w:rsidRPr="00EF01E2">
              <w:rPr>
                <w:webHidden/>
              </w:rPr>
              <w:fldChar w:fldCharType="separate"/>
            </w:r>
            <w:r w:rsidR="00937F13">
              <w:rPr>
                <w:webHidden/>
              </w:rPr>
              <w:t>32</w:t>
            </w:r>
            <w:r w:rsidR="00283A21" w:rsidRPr="00EF01E2">
              <w:rPr>
                <w:webHidden/>
              </w:rPr>
              <w:fldChar w:fldCharType="end"/>
            </w:r>
          </w:hyperlink>
        </w:p>
        <w:p w:rsidR="00F45A0F" w:rsidRPr="00EF01E2" w:rsidRDefault="00F45A0F">
          <w:pPr>
            <w:rPr>
              <w:rFonts w:asciiTheme="minorHAnsi" w:hAnsiTheme="minorHAnsi" w:cs="Arial"/>
            </w:rPr>
          </w:pPr>
          <w:r w:rsidRPr="00EF01E2">
            <w:rPr>
              <w:rFonts w:asciiTheme="minorHAnsi" w:hAnsiTheme="minorHAnsi" w:cs="Arial"/>
              <w:b/>
              <w:bCs/>
              <w:noProof/>
            </w:rPr>
            <w:fldChar w:fldCharType="end"/>
          </w:r>
        </w:p>
      </w:sdtContent>
    </w:sdt>
    <w:p w:rsidR="00AD0473" w:rsidRPr="00671649" w:rsidRDefault="00AD0473">
      <w:pPr>
        <w:rPr>
          <w:rFonts w:asciiTheme="minorHAnsi" w:hAnsiTheme="minorHAnsi" w:cs="Arial"/>
          <w:b/>
          <w:bCs/>
          <w:kern w:val="28"/>
          <w:sz w:val="28"/>
          <w:szCs w:val="32"/>
        </w:rPr>
      </w:pPr>
      <w:r w:rsidRPr="00671649">
        <w:rPr>
          <w:rFonts w:asciiTheme="minorHAnsi" w:hAnsiTheme="minorHAnsi" w:cs="Arial"/>
        </w:rPr>
        <w:br w:type="page"/>
      </w:r>
    </w:p>
    <w:p w:rsidR="00F45A0F" w:rsidRPr="00902E66" w:rsidRDefault="00F45A0F" w:rsidP="00902E66">
      <w:pPr>
        <w:pStyle w:val="Heading1"/>
      </w:pPr>
      <w:bookmarkStart w:id="0" w:name="_Toc498070409"/>
      <w:r w:rsidRPr="00902E66">
        <w:lastRenderedPageBreak/>
        <w:t>For</w:t>
      </w:r>
      <w:r w:rsidR="00853C4E" w:rsidRPr="00902E66">
        <w:t>ewo</w:t>
      </w:r>
      <w:r w:rsidRPr="00902E66">
        <w:t>rd</w:t>
      </w:r>
      <w:bookmarkEnd w:id="0"/>
    </w:p>
    <w:p w:rsidR="00286930" w:rsidRDefault="00286930" w:rsidP="00691A93">
      <w:pPr>
        <w:rPr>
          <w:rFonts w:asciiTheme="minorHAnsi" w:eastAsia="Calibri" w:hAnsiTheme="minorHAnsi"/>
        </w:rPr>
      </w:pPr>
      <w:r w:rsidRPr="004B0DE7">
        <w:rPr>
          <w:rFonts w:asciiTheme="minorHAnsi" w:hAnsiTheme="minorHAnsi"/>
        </w:rPr>
        <w:t xml:space="preserve">Over </w:t>
      </w:r>
      <w:r>
        <w:rPr>
          <w:rFonts w:asciiTheme="minorHAnsi" w:hAnsiTheme="minorHAnsi"/>
        </w:rPr>
        <w:t>the past several</w:t>
      </w:r>
      <w:r w:rsidRPr="004B0DE7">
        <w:rPr>
          <w:rFonts w:asciiTheme="minorHAnsi" w:hAnsiTheme="minorHAnsi"/>
        </w:rPr>
        <w:t xml:space="preserve"> decades, people have survived injuries, operations, diseases and child birth, thanks to antimicrobial drugs. Now these tried and true drugs are failing us. Antimicrobial resistance</w:t>
      </w:r>
      <w:r>
        <w:rPr>
          <w:rFonts w:asciiTheme="minorHAnsi" w:hAnsiTheme="minorHAnsi"/>
        </w:rPr>
        <w:t xml:space="preserve"> </w:t>
      </w:r>
      <w:r w:rsidR="00731C95">
        <w:rPr>
          <w:rFonts w:asciiTheme="minorHAnsi" w:hAnsiTheme="minorHAnsi"/>
        </w:rPr>
        <w:t xml:space="preserve">(AMR) </w:t>
      </w:r>
      <w:r>
        <w:rPr>
          <w:rFonts w:asciiTheme="minorHAnsi" w:hAnsiTheme="minorHAnsi"/>
        </w:rPr>
        <w:t>has</w:t>
      </w:r>
      <w:r w:rsidRPr="004B0DE7">
        <w:rPr>
          <w:rFonts w:asciiTheme="minorHAnsi" w:hAnsiTheme="minorHAnsi"/>
        </w:rPr>
        <w:t xml:space="preserve"> the potential to</w:t>
      </w:r>
      <w:r>
        <w:rPr>
          <w:rFonts w:asciiTheme="minorHAnsi" w:hAnsiTheme="minorHAnsi"/>
        </w:rPr>
        <w:t xml:space="preserve"> not</w:t>
      </w:r>
      <w:r w:rsidR="0040178C">
        <w:rPr>
          <w:rFonts w:asciiTheme="minorHAnsi" w:hAnsiTheme="minorHAnsi"/>
        </w:rPr>
        <w:t xml:space="preserve"> only impact our health, but to</w:t>
      </w:r>
      <w:r w:rsidRPr="004B0DE7">
        <w:rPr>
          <w:rFonts w:asciiTheme="minorHAnsi" w:hAnsiTheme="minorHAnsi"/>
        </w:rPr>
        <w:t xml:space="preserve"> derail our social and economic development</w:t>
      </w:r>
      <w:r w:rsidR="00C94988">
        <w:rPr>
          <w:rFonts w:asciiTheme="minorHAnsi" w:hAnsiTheme="minorHAnsi"/>
        </w:rPr>
        <w:t xml:space="preserve"> by placing a </w:t>
      </w:r>
      <w:r w:rsidR="0085298C">
        <w:rPr>
          <w:rFonts w:asciiTheme="minorHAnsi" w:eastAsia="Calibri" w:hAnsiTheme="minorHAnsi"/>
        </w:rPr>
        <w:t>greater burden on</w:t>
      </w:r>
      <w:r w:rsidR="0085298C" w:rsidRPr="006966C1">
        <w:rPr>
          <w:rFonts w:asciiTheme="minorHAnsi" w:eastAsia="Calibri" w:hAnsiTheme="minorHAnsi"/>
        </w:rPr>
        <w:t xml:space="preserve"> patients, health care providers and the health system</w:t>
      </w:r>
      <w:r w:rsidR="0040178C">
        <w:rPr>
          <w:rFonts w:asciiTheme="minorHAnsi" w:eastAsia="Calibri" w:hAnsiTheme="minorHAnsi"/>
        </w:rPr>
        <w:t>.</w:t>
      </w:r>
    </w:p>
    <w:p w:rsidR="00286930" w:rsidRDefault="00286930" w:rsidP="00691A93">
      <w:pPr>
        <w:rPr>
          <w:rFonts w:asciiTheme="minorHAnsi" w:hAnsiTheme="minorHAnsi"/>
        </w:rPr>
      </w:pPr>
    </w:p>
    <w:p w:rsidR="00286930" w:rsidRDefault="00105313" w:rsidP="00691A93">
      <w:pPr>
        <w:rPr>
          <w:rFonts w:asciiTheme="minorHAnsi" w:hAnsiTheme="minorHAnsi"/>
        </w:rPr>
      </w:pPr>
      <w:r>
        <w:rPr>
          <w:rFonts w:asciiTheme="minorHAnsi" w:hAnsiTheme="minorHAnsi"/>
        </w:rPr>
        <w:t xml:space="preserve">The past few years have </w:t>
      </w:r>
      <w:r w:rsidR="00286930">
        <w:rPr>
          <w:rFonts w:asciiTheme="minorHAnsi" w:hAnsiTheme="minorHAnsi"/>
        </w:rPr>
        <w:t xml:space="preserve">seen </w:t>
      </w:r>
      <w:r w:rsidR="00FB5C1E">
        <w:rPr>
          <w:rFonts w:asciiTheme="minorHAnsi" w:hAnsiTheme="minorHAnsi"/>
        </w:rPr>
        <w:t>a significant increase in the profile of AMR</w:t>
      </w:r>
      <w:r w:rsidR="00286930">
        <w:rPr>
          <w:rFonts w:asciiTheme="minorHAnsi" w:hAnsiTheme="minorHAnsi"/>
        </w:rPr>
        <w:t xml:space="preserve">, both here in Australia and internationally. Commitments have been made at numerous international fora and across all levels of government to tackle this growing </w:t>
      </w:r>
      <w:r w:rsidR="007D19D7">
        <w:rPr>
          <w:rFonts w:asciiTheme="minorHAnsi" w:hAnsiTheme="minorHAnsi"/>
        </w:rPr>
        <w:t xml:space="preserve">human </w:t>
      </w:r>
      <w:r w:rsidR="00286930">
        <w:rPr>
          <w:rFonts w:asciiTheme="minorHAnsi" w:hAnsiTheme="minorHAnsi"/>
        </w:rPr>
        <w:t xml:space="preserve">health concern. It is important that we take advantage of this momentum to continue current activities and garner further action in </w:t>
      </w:r>
      <w:r w:rsidR="00253E9C">
        <w:rPr>
          <w:rFonts w:asciiTheme="minorHAnsi" w:hAnsiTheme="minorHAnsi"/>
        </w:rPr>
        <w:t xml:space="preserve">priority </w:t>
      </w:r>
      <w:r w:rsidR="00286930">
        <w:rPr>
          <w:rFonts w:asciiTheme="minorHAnsi" w:hAnsiTheme="minorHAnsi"/>
        </w:rPr>
        <w:t>areas.</w:t>
      </w:r>
    </w:p>
    <w:p w:rsidR="00286930" w:rsidRDefault="00286930" w:rsidP="00691A93">
      <w:pPr>
        <w:rPr>
          <w:rFonts w:asciiTheme="minorHAnsi" w:hAnsiTheme="minorHAnsi"/>
        </w:rPr>
      </w:pPr>
    </w:p>
    <w:p w:rsidR="0085298C" w:rsidRDefault="00B112CE" w:rsidP="00691A93">
      <w:pPr>
        <w:rPr>
          <w:rFonts w:asciiTheme="minorHAnsi" w:hAnsiTheme="minorHAnsi"/>
        </w:rPr>
      </w:pPr>
      <w:r w:rsidRPr="00B112CE">
        <w:rPr>
          <w:rFonts w:asciiTheme="minorHAnsi" w:hAnsiTheme="minorHAnsi"/>
        </w:rPr>
        <w:t xml:space="preserve">In June 2015, the Australian Government released </w:t>
      </w:r>
      <w:r w:rsidR="00E86F95">
        <w:rPr>
          <w:rFonts w:asciiTheme="minorHAnsi" w:hAnsiTheme="minorHAnsi"/>
        </w:rPr>
        <w:t xml:space="preserve">its first </w:t>
      </w:r>
      <w:r w:rsidRPr="00B112CE">
        <w:rPr>
          <w:rFonts w:asciiTheme="minorHAnsi" w:hAnsiTheme="minorHAnsi"/>
        </w:rPr>
        <w:t>National AMR Strategy to guide the response to the threat</w:t>
      </w:r>
      <w:r w:rsidR="00251441">
        <w:rPr>
          <w:rFonts w:asciiTheme="minorHAnsi" w:hAnsiTheme="minorHAnsi"/>
        </w:rPr>
        <w:t xml:space="preserve"> posed by</w:t>
      </w:r>
      <w:r w:rsidR="00253E9C">
        <w:rPr>
          <w:rFonts w:asciiTheme="minorHAnsi" w:hAnsiTheme="minorHAnsi"/>
        </w:rPr>
        <w:t xml:space="preserve"> AMR</w:t>
      </w:r>
      <w:r w:rsidRPr="00B112CE">
        <w:rPr>
          <w:rFonts w:asciiTheme="minorHAnsi" w:hAnsiTheme="minorHAnsi"/>
        </w:rPr>
        <w:t xml:space="preserve">. </w:t>
      </w:r>
      <w:r w:rsidR="00286930">
        <w:rPr>
          <w:rFonts w:asciiTheme="minorHAnsi" w:hAnsiTheme="minorHAnsi"/>
        </w:rPr>
        <w:t>The Strategy’s Implementation Plan, which was released in November 2016, highlighted the significant effort and financial contribution undertaken by a wide range of organisations across sectors</w:t>
      </w:r>
      <w:r w:rsidR="0085298C">
        <w:rPr>
          <w:rFonts w:asciiTheme="minorHAnsi" w:hAnsiTheme="minorHAnsi"/>
        </w:rPr>
        <w:t xml:space="preserve"> to tackle the issue of </w:t>
      </w:r>
      <w:r w:rsidR="00AA7C0D">
        <w:rPr>
          <w:rFonts w:asciiTheme="minorHAnsi" w:hAnsiTheme="minorHAnsi"/>
        </w:rPr>
        <w:t>AMR.</w:t>
      </w:r>
    </w:p>
    <w:p w:rsidR="0085298C" w:rsidRDefault="0085298C" w:rsidP="00691A93">
      <w:pPr>
        <w:rPr>
          <w:rFonts w:asciiTheme="minorHAnsi" w:hAnsiTheme="minorHAnsi"/>
        </w:rPr>
      </w:pPr>
    </w:p>
    <w:p w:rsidR="00B112CE" w:rsidRDefault="00B3134E" w:rsidP="00691A93">
      <w:pPr>
        <w:rPr>
          <w:rFonts w:asciiTheme="minorHAnsi" w:hAnsiTheme="minorHAnsi"/>
        </w:rPr>
      </w:pPr>
      <w:r>
        <w:rPr>
          <w:rFonts w:asciiTheme="minorHAnsi" w:hAnsiTheme="minorHAnsi"/>
        </w:rPr>
        <w:t>T</w:t>
      </w:r>
      <w:r w:rsidR="00B112CE">
        <w:rPr>
          <w:rFonts w:asciiTheme="minorHAnsi" w:hAnsiTheme="minorHAnsi"/>
        </w:rPr>
        <w:t>hrough the development of the Strat</w:t>
      </w:r>
      <w:r>
        <w:rPr>
          <w:rFonts w:asciiTheme="minorHAnsi" w:hAnsiTheme="minorHAnsi"/>
        </w:rPr>
        <w:t>egy and the Implementation Plan, the value of inform</w:t>
      </w:r>
      <w:r w:rsidR="00105313">
        <w:rPr>
          <w:rFonts w:asciiTheme="minorHAnsi" w:hAnsiTheme="minorHAnsi"/>
        </w:rPr>
        <w:t>ation sharing and collaboration</w:t>
      </w:r>
      <w:r>
        <w:rPr>
          <w:rFonts w:asciiTheme="minorHAnsi" w:hAnsiTheme="minorHAnsi"/>
        </w:rPr>
        <w:t xml:space="preserve"> </w:t>
      </w:r>
      <w:r w:rsidR="00B04E5F">
        <w:rPr>
          <w:rFonts w:asciiTheme="minorHAnsi" w:hAnsiTheme="minorHAnsi"/>
        </w:rPr>
        <w:t>has become</w:t>
      </w:r>
      <w:r>
        <w:rPr>
          <w:rFonts w:asciiTheme="minorHAnsi" w:hAnsiTheme="minorHAnsi"/>
        </w:rPr>
        <w:t xml:space="preserve"> abundantly clear. To facilitate this, we</w:t>
      </w:r>
      <w:r w:rsidR="00B112CE">
        <w:rPr>
          <w:rFonts w:asciiTheme="minorHAnsi" w:hAnsiTheme="minorHAnsi"/>
        </w:rPr>
        <w:t xml:space="preserve"> </w:t>
      </w:r>
      <w:r w:rsidR="007D19D7">
        <w:rPr>
          <w:rFonts w:asciiTheme="minorHAnsi" w:hAnsiTheme="minorHAnsi"/>
        </w:rPr>
        <w:t xml:space="preserve">are </w:t>
      </w:r>
      <w:r w:rsidR="00B112CE">
        <w:rPr>
          <w:rFonts w:asciiTheme="minorHAnsi" w:hAnsiTheme="minorHAnsi"/>
        </w:rPr>
        <w:t>develop</w:t>
      </w:r>
      <w:r w:rsidR="007D19D7">
        <w:rPr>
          <w:rFonts w:asciiTheme="minorHAnsi" w:hAnsiTheme="minorHAnsi"/>
        </w:rPr>
        <w:t>ing</w:t>
      </w:r>
      <w:r w:rsidR="00B112CE">
        <w:rPr>
          <w:rFonts w:asciiTheme="minorHAnsi" w:hAnsiTheme="minorHAnsi"/>
        </w:rPr>
        <w:t xml:space="preserve"> a One Health AMR web</w:t>
      </w:r>
      <w:r>
        <w:rPr>
          <w:rFonts w:asciiTheme="minorHAnsi" w:hAnsiTheme="minorHAnsi"/>
        </w:rPr>
        <w:t>site, which will act as a</w:t>
      </w:r>
      <w:r w:rsidR="00B112CE">
        <w:rPr>
          <w:rFonts w:asciiTheme="minorHAnsi" w:hAnsiTheme="minorHAnsi"/>
        </w:rPr>
        <w:t xml:space="preserve"> central repository for information and resources for professionals and consumers. </w:t>
      </w:r>
      <w:r w:rsidR="00FD09EE">
        <w:rPr>
          <w:rFonts w:asciiTheme="minorHAnsi" w:hAnsiTheme="minorHAnsi"/>
        </w:rPr>
        <w:t>The website will incl</w:t>
      </w:r>
      <w:r w:rsidR="00AA7C0D">
        <w:rPr>
          <w:rFonts w:asciiTheme="minorHAnsi" w:hAnsiTheme="minorHAnsi"/>
        </w:rPr>
        <w:t>ude an activity and research directory</w:t>
      </w:r>
      <w:r w:rsidR="00B112CE">
        <w:rPr>
          <w:rFonts w:asciiTheme="minorHAnsi" w:hAnsiTheme="minorHAnsi"/>
        </w:rPr>
        <w:t xml:space="preserve">, which will </w:t>
      </w:r>
      <w:r w:rsidR="00FD09EE">
        <w:rPr>
          <w:rFonts w:asciiTheme="minorHAnsi" w:hAnsiTheme="minorHAnsi"/>
        </w:rPr>
        <w:t>enable</w:t>
      </w:r>
      <w:r w:rsidR="00B112CE">
        <w:rPr>
          <w:rFonts w:asciiTheme="minorHAnsi" w:hAnsiTheme="minorHAnsi"/>
        </w:rPr>
        <w:t xml:space="preserve"> more </w:t>
      </w:r>
      <w:r w:rsidR="00253E9C">
        <w:rPr>
          <w:rFonts w:asciiTheme="minorHAnsi" w:hAnsiTheme="minorHAnsi"/>
        </w:rPr>
        <w:t>timely</w:t>
      </w:r>
      <w:r w:rsidR="00056779">
        <w:rPr>
          <w:rFonts w:asciiTheme="minorHAnsi" w:hAnsiTheme="minorHAnsi"/>
        </w:rPr>
        <w:t xml:space="preserve"> collaboration between stakeholders on</w:t>
      </w:r>
      <w:r w:rsidR="00026D67">
        <w:rPr>
          <w:rFonts w:asciiTheme="minorHAnsi" w:hAnsiTheme="minorHAnsi"/>
        </w:rPr>
        <w:t>,</w:t>
      </w:r>
      <w:r w:rsidR="00056779">
        <w:rPr>
          <w:rFonts w:asciiTheme="minorHAnsi" w:hAnsiTheme="minorHAnsi"/>
        </w:rPr>
        <w:t xml:space="preserve"> and</w:t>
      </w:r>
      <w:r w:rsidR="00FD09EE">
        <w:rPr>
          <w:rFonts w:asciiTheme="minorHAnsi" w:hAnsiTheme="minorHAnsi"/>
        </w:rPr>
        <w:t xml:space="preserve"> tracking of</w:t>
      </w:r>
      <w:r w:rsidR="00026D67">
        <w:rPr>
          <w:rFonts w:asciiTheme="minorHAnsi" w:hAnsiTheme="minorHAnsi"/>
        </w:rPr>
        <w:t>,</w:t>
      </w:r>
      <w:r w:rsidR="00FD09EE">
        <w:rPr>
          <w:rFonts w:asciiTheme="minorHAnsi" w:hAnsiTheme="minorHAnsi"/>
        </w:rPr>
        <w:t xml:space="preserve"> </w:t>
      </w:r>
      <w:r w:rsidR="00B112CE">
        <w:rPr>
          <w:rFonts w:asciiTheme="minorHAnsi" w:hAnsiTheme="minorHAnsi"/>
        </w:rPr>
        <w:t>projects</w:t>
      </w:r>
      <w:r w:rsidR="00056779">
        <w:rPr>
          <w:rFonts w:asciiTheme="minorHAnsi" w:hAnsiTheme="minorHAnsi"/>
        </w:rPr>
        <w:t xml:space="preserve">. This will </w:t>
      </w:r>
      <w:r w:rsidR="00B112CE">
        <w:rPr>
          <w:rFonts w:asciiTheme="minorHAnsi" w:hAnsiTheme="minorHAnsi"/>
        </w:rPr>
        <w:t xml:space="preserve">ensure that we </w:t>
      </w:r>
      <w:r w:rsidR="00251441">
        <w:rPr>
          <w:rFonts w:asciiTheme="minorHAnsi" w:hAnsiTheme="minorHAnsi"/>
        </w:rPr>
        <w:t>keep</w:t>
      </w:r>
      <w:r w:rsidR="00B112CE">
        <w:rPr>
          <w:rFonts w:asciiTheme="minorHAnsi" w:hAnsiTheme="minorHAnsi"/>
        </w:rPr>
        <w:t xml:space="preserve"> sight of the breadth of AMR-related activities being undertaken in Australia</w:t>
      </w:r>
      <w:r w:rsidR="00056779">
        <w:rPr>
          <w:rFonts w:asciiTheme="minorHAnsi" w:hAnsiTheme="minorHAnsi"/>
        </w:rPr>
        <w:t xml:space="preserve"> and where further efforts need to be focussed</w:t>
      </w:r>
      <w:r w:rsidR="00B112CE">
        <w:rPr>
          <w:rFonts w:asciiTheme="minorHAnsi" w:hAnsiTheme="minorHAnsi"/>
        </w:rPr>
        <w:t>.</w:t>
      </w:r>
    </w:p>
    <w:p w:rsidR="00B112CE" w:rsidRDefault="00B112CE" w:rsidP="00691A93">
      <w:pPr>
        <w:rPr>
          <w:rFonts w:asciiTheme="minorHAnsi" w:hAnsiTheme="minorHAnsi"/>
        </w:rPr>
      </w:pPr>
    </w:p>
    <w:p w:rsidR="00105313" w:rsidRDefault="00056779" w:rsidP="00691A93">
      <w:pPr>
        <w:rPr>
          <w:rFonts w:asciiTheme="minorHAnsi" w:hAnsiTheme="minorHAnsi"/>
        </w:rPr>
      </w:pPr>
      <w:r>
        <w:rPr>
          <w:rFonts w:asciiTheme="minorHAnsi" w:hAnsiTheme="minorHAnsi" w:cs="Arial"/>
        </w:rPr>
        <w:t>S</w:t>
      </w:r>
      <w:r w:rsidR="001330BA" w:rsidRPr="004B457F">
        <w:rPr>
          <w:rFonts w:asciiTheme="minorHAnsi" w:hAnsiTheme="minorHAnsi" w:cs="Arial"/>
        </w:rPr>
        <w:t xml:space="preserve">ignificant </w:t>
      </w:r>
      <w:r w:rsidR="001330BA">
        <w:rPr>
          <w:rFonts w:asciiTheme="minorHAnsi" w:hAnsiTheme="minorHAnsi" w:cs="Arial"/>
        </w:rPr>
        <w:t>progress</w:t>
      </w:r>
      <w:r w:rsidR="001330BA" w:rsidRPr="004B457F">
        <w:rPr>
          <w:rFonts w:asciiTheme="minorHAnsi" w:hAnsiTheme="minorHAnsi" w:cs="Arial"/>
        </w:rPr>
        <w:t xml:space="preserve"> </w:t>
      </w:r>
      <w:r w:rsidR="001330BA">
        <w:rPr>
          <w:rFonts w:asciiTheme="minorHAnsi" w:hAnsiTheme="minorHAnsi" w:cs="Arial"/>
        </w:rPr>
        <w:t>has</w:t>
      </w:r>
      <w:r w:rsidR="001330BA" w:rsidRPr="004B457F">
        <w:rPr>
          <w:rFonts w:asciiTheme="minorHAnsi" w:hAnsiTheme="minorHAnsi" w:cs="Arial"/>
        </w:rPr>
        <w:t xml:space="preserve"> </w:t>
      </w:r>
      <w:r w:rsidR="001330BA">
        <w:rPr>
          <w:rFonts w:asciiTheme="minorHAnsi" w:hAnsiTheme="minorHAnsi" w:cs="Arial"/>
        </w:rPr>
        <w:t>been made</w:t>
      </w:r>
      <w:r w:rsidR="00FD09EE">
        <w:rPr>
          <w:rFonts w:asciiTheme="minorHAnsi" w:hAnsiTheme="minorHAnsi" w:cs="Arial"/>
        </w:rPr>
        <w:t xml:space="preserve"> over the last few years</w:t>
      </w:r>
      <w:r>
        <w:rPr>
          <w:rFonts w:asciiTheme="minorHAnsi" w:hAnsiTheme="minorHAnsi" w:cs="Arial"/>
        </w:rPr>
        <w:t>. However,</w:t>
      </w:r>
      <w:r w:rsidR="001330BA">
        <w:rPr>
          <w:rFonts w:asciiTheme="minorHAnsi" w:hAnsiTheme="minorHAnsi" w:cs="Arial"/>
        </w:rPr>
        <w:t xml:space="preserve"> </w:t>
      </w:r>
      <w:r w:rsidR="001330BA" w:rsidRPr="004B457F">
        <w:rPr>
          <w:rFonts w:asciiTheme="minorHAnsi" w:hAnsiTheme="minorHAnsi" w:cs="Arial"/>
        </w:rPr>
        <w:t xml:space="preserve">there is still a long way to go. </w:t>
      </w:r>
      <w:r w:rsidR="00634BD5">
        <w:rPr>
          <w:rFonts w:asciiTheme="minorHAnsi" w:hAnsiTheme="minorHAnsi" w:cs="Arial"/>
        </w:rPr>
        <w:t>W</w:t>
      </w:r>
      <w:r w:rsidR="001330BA" w:rsidRPr="004B457F">
        <w:rPr>
          <w:rFonts w:asciiTheme="minorHAnsi" w:hAnsiTheme="minorHAnsi" w:cs="Arial"/>
        </w:rPr>
        <w:t xml:space="preserve">e must continue to identify and fill </w:t>
      </w:r>
      <w:r w:rsidR="001330BA">
        <w:rPr>
          <w:rFonts w:asciiTheme="minorHAnsi" w:hAnsiTheme="minorHAnsi" w:cs="Arial"/>
        </w:rPr>
        <w:t>gaps</w:t>
      </w:r>
      <w:r w:rsidR="001330BA" w:rsidRPr="004B457F">
        <w:rPr>
          <w:rFonts w:asciiTheme="minorHAnsi" w:hAnsiTheme="minorHAnsi" w:cs="Arial"/>
        </w:rPr>
        <w:t>, test and refine existing systems</w:t>
      </w:r>
      <w:r>
        <w:rPr>
          <w:rFonts w:asciiTheme="minorHAnsi" w:hAnsiTheme="minorHAnsi" w:cs="Arial"/>
        </w:rPr>
        <w:t>,</w:t>
      </w:r>
      <w:r w:rsidR="001330BA" w:rsidRPr="004B457F">
        <w:rPr>
          <w:rFonts w:asciiTheme="minorHAnsi" w:hAnsiTheme="minorHAnsi" w:cs="Arial"/>
        </w:rPr>
        <w:t xml:space="preserve"> and </w:t>
      </w:r>
      <w:r w:rsidR="001330BA">
        <w:rPr>
          <w:rFonts w:asciiTheme="minorHAnsi" w:hAnsiTheme="minorHAnsi" w:cs="Arial"/>
        </w:rPr>
        <w:t>frequently</w:t>
      </w:r>
      <w:r w:rsidR="001330BA" w:rsidRPr="004B457F">
        <w:rPr>
          <w:rFonts w:asciiTheme="minorHAnsi" w:hAnsiTheme="minorHAnsi" w:cs="Arial"/>
        </w:rPr>
        <w:t xml:space="preserve"> review what works to ensure that optimal arrangements are in place</w:t>
      </w:r>
      <w:r>
        <w:rPr>
          <w:rFonts w:asciiTheme="minorHAnsi" w:hAnsiTheme="minorHAnsi" w:cs="Arial"/>
        </w:rPr>
        <w:t xml:space="preserve"> to ensure antimicrobials are preserved for future treatments</w:t>
      </w:r>
      <w:r w:rsidR="001330BA" w:rsidRPr="004B457F">
        <w:rPr>
          <w:rFonts w:asciiTheme="minorHAnsi" w:hAnsiTheme="minorHAnsi" w:cs="Arial"/>
        </w:rPr>
        <w:t>.</w:t>
      </w:r>
      <w:r w:rsidR="001330BA">
        <w:rPr>
          <w:rFonts w:asciiTheme="minorHAnsi" w:hAnsiTheme="minorHAnsi" w:cs="Arial"/>
        </w:rPr>
        <w:t xml:space="preserve"> </w:t>
      </w:r>
      <w:r w:rsidR="00B112CE">
        <w:rPr>
          <w:rFonts w:asciiTheme="minorHAnsi" w:hAnsiTheme="minorHAnsi"/>
        </w:rPr>
        <w:t>T</w:t>
      </w:r>
      <w:r w:rsidR="00BE6F52">
        <w:rPr>
          <w:rFonts w:asciiTheme="minorHAnsi" w:hAnsiTheme="minorHAnsi"/>
        </w:rPr>
        <w:t>his Progress R</w:t>
      </w:r>
      <w:r w:rsidR="00B112CE">
        <w:rPr>
          <w:rFonts w:asciiTheme="minorHAnsi" w:hAnsiTheme="minorHAnsi"/>
        </w:rPr>
        <w:t>eport not only highlights the progress that has been made in Australia in the past two years, but also recognises challenges and gaps that need to be addre</w:t>
      </w:r>
      <w:r w:rsidR="00634BD5">
        <w:rPr>
          <w:rFonts w:asciiTheme="minorHAnsi" w:hAnsiTheme="minorHAnsi"/>
        </w:rPr>
        <w:t>ssed.</w:t>
      </w:r>
    </w:p>
    <w:p w:rsidR="00105313" w:rsidRDefault="00105313" w:rsidP="00691A93">
      <w:pPr>
        <w:rPr>
          <w:rFonts w:asciiTheme="minorHAnsi" w:hAnsiTheme="minorHAnsi"/>
        </w:rPr>
      </w:pPr>
    </w:p>
    <w:p w:rsidR="00286930" w:rsidRDefault="00286930" w:rsidP="00691A93">
      <w:pPr>
        <w:rPr>
          <w:rFonts w:asciiTheme="minorHAnsi" w:hAnsiTheme="minorHAnsi"/>
        </w:rPr>
      </w:pPr>
      <w:r>
        <w:rPr>
          <w:rFonts w:asciiTheme="minorHAnsi" w:hAnsiTheme="minorHAnsi"/>
        </w:rPr>
        <w:t xml:space="preserve">We would like to thank all stakeholders for their continued engagement and support in implementing activities </w:t>
      </w:r>
      <w:r w:rsidR="0004330D">
        <w:rPr>
          <w:rFonts w:asciiTheme="minorHAnsi" w:hAnsiTheme="minorHAnsi"/>
        </w:rPr>
        <w:t>under the National AMR Strategy and</w:t>
      </w:r>
      <w:r w:rsidR="0040178C">
        <w:rPr>
          <w:rFonts w:asciiTheme="minorHAnsi" w:hAnsiTheme="minorHAnsi"/>
        </w:rPr>
        <w:t xml:space="preserve"> for their</w:t>
      </w:r>
      <w:r w:rsidR="0004330D">
        <w:rPr>
          <w:rFonts w:asciiTheme="minorHAnsi" w:hAnsiTheme="minorHAnsi"/>
        </w:rPr>
        <w:t xml:space="preserve"> </w:t>
      </w:r>
      <w:r w:rsidR="00056779">
        <w:rPr>
          <w:rFonts w:asciiTheme="minorHAnsi" w:hAnsiTheme="minorHAnsi"/>
        </w:rPr>
        <w:t xml:space="preserve">ongoing </w:t>
      </w:r>
      <w:r w:rsidR="0004330D">
        <w:rPr>
          <w:rFonts w:asciiTheme="minorHAnsi" w:hAnsiTheme="minorHAnsi"/>
        </w:rPr>
        <w:t>c</w:t>
      </w:r>
      <w:r w:rsidR="0085298C">
        <w:rPr>
          <w:rFonts w:asciiTheme="minorHAnsi" w:hAnsiTheme="minorHAnsi"/>
        </w:rPr>
        <w:t>o</w:t>
      </w:r>
      <w:r w:rsidR="007C1747">
        <w:rPr>
          <w:rFonts w:asciiTheme="minorHAnsi" w:hAnsiTheme="minorHAnsi"/>
        </w:rPr>
        <w:t>ntribution</w:t>
      </w:r>
      <w:r w:rsidR="0040178C">
        <w:rPr>
          <w:rFonts w:asciiTheme="minorHAnsi" w:hAnsiTheme="minorHAnsi"/>
        </w:rPr>
        <w:t xml:space="preserve"> in </w:t>
      </w:r>
      <w:r w:rsidR="00056779">
        <w:rPr>
          <w:rFonts w:asciiTheme="minorHAnsi" w:hAnsiTheme="minorHAnsi"/>
        </w:rPr>
        <w:t>limiting</w:t>
      </w:r>
      <w:r w:rsidR="0004330D">
        <w:rPr>
          <w:rFonts w:asciiTheme="minorHAnsi" w:hAnsiTheme="minorHAnsi"/>
        </w:rPr>
        <w:t xml:space="preserve"> </w:t>
      </w:r>
      <w:r>
        <w:rPr>
          <w:rFonts w:asciiTheme="minorHAnsi" w:hAnsiTheme="minorHAnsi"/>
        </w:rPr>
        <w:t>and contain</w:t>
      </w:r>
      <w:r w:rsidR="0004330D">
        <w:rPr>
          <w:rFonts w:asciiTheme="minorHAnsi" w:hAnsiTheme="minorHAnsi"/>
        </w:rPr>
        <w:t xml:space="preserve">ing the spread of </w:t>
      </w:r>
      <w:r w:rsidR="00E86F95">
        <w:rPr>
          <w:rFonts w:asciiTheme="minorHAnsi" w:hAnsiTheme="minorHAnsi"/>
        </w:rPr>
        <w:t>AMR.</w:t>
      </w:r>
    </w:p>
    <w:p w:rsidR="00210E99" w:rsidRDefault="00210E99" w:rsidP="00691A93">
      <w:pPr>
        <w:rPr>
          <w:rFonts w:asciiTheme="minorHAnsi" w:hAnsiTheme="minorHAnsi"/>
        </w:rPr>
      </w:pPr>
    </w:p>
    <w:p w:rsidR="00210E99" w:rsidRDefault="00210E99" w:rsidP="00691A93">
      <w:pPr>
        <w:rPr>
          <w:rFonts w:asciiTheme="minorHAnsi" w:hAnsiTheme="minorHAnsi"/>
        </w:rPr>
      </w:pPr>
    </w:p>
    <w:tbl>
      <w:tblPr>
        <w:tblStyle w:val="TableGrid"/>
        <w:tblpPr w:leftFromText="180" w:rightFromText="180" w:vertAnchor="text" w:horzAnchor="margin" w:tblpY="-5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locks for Professor Brendan Murphy and Dr Mark Schipp"/>
        <w:tblDescription w:val="Text reads &quot;Professor Brendan Murphy, Australian Government Chief Medical Officer&quot; and &quot;Dr Mark Schipp, Australian Chief Veterinary Officer&quot;"/>
      </w:tblPr>
      <w:tblGrid>
        <w:gridCol w:w="4786"/>
        <w:gridCol w:w="5103"/>
      </w:tblGrid>
      <w:tr w:rsidR="00893A7C" w:rsidTr="00F544D4">
        <w:trPr>
          <w:tblHeader/>
        </w:trPr>
        <w:tc>
          <w:tcPr>
            <w:tcW w:w="4786" w:type="dxa"/>
          </w:tcPr>
          <w:p w:rsidR="00893A7C" w:rsidRDefault="00893A7C" w:rsidP="00422660">
            <w:pPr>
              <w:rPr>
                <w:rFonts w:asciiTheme="minorHAnsi" w:hAnsiTheme="minorHAnsi"/>
                <w:b/>
              </w:rPr>
            </w:pPr>
          </w:p>
        </w:tc>
        <w:tc>
          <w:tcPr>
            <w:tcW w:w="5103" w:type="dxa"/>
            <w:tcBorders>
              <w:left w:val="nil"/>
            </w:tcBorders>
          </w:tcPr>
          <w:p w:rsidR="00893A7C" w:rsidRDefault="00893A7C" w:rsidP="00422660">
            <w:pPr>
              <w:rPr>
                <w:rFonts w:asciiTheme="minorHAnsi" w:hAnsiTheme="minorHAnsi"/>
                <w:b/>
              </w:rPr>
            </w:pPr>
          </w:p>
        </w:tc>
      </w:tr>
      <w:tr w:rsidR="00210E99" w:rsidTr="00F544D4">
        <w:trPr>
          <w:tblHeader/>
        </w:trPr>
        <w:tc>
          <w:tcPr>
            <w:tcW w:w="4786" w:type="dxa"/>
          </w:tcPr>
          <w:p w:rsidR="00210E99" w:rsidRDefault="00210E99" w:rsidP="00422660">
            <w:pPr>
              <w:rPr>
                <w:rFonts w:asciiTheme="minorHAnsi" w:hAnsiTheme="minorHAnsi"/>
                <w:b/>
              </w:rPr>
            </w:pPr>
            <w:r>
              <w:rPr>
                <w:rFonts w:asciiTheme="minorHAnsi" w:hAnsiTheme="minorHAnsi"/>
                <w:b/>
              </w:rPr>
              <w:t>Professor Brendan Murphy</w:t>
            </w:r>
          </w:p>
          <w:p w:rsidR="00210E99" w:rsidRPr="006C1FCD" w:rsidRDefault="00210E99" w:rsidP="00422660">
            <w:pPr>
              <w:rPr>
                <w:rFonts w:asciiTheme="minorHAnsi" w:hAnsiTheme="minorHAnsi"/>
              </w:rPr>
            </w:pPr>
            <w:r>
              <w:rPr>
                <w:rFonts w:asciiTheme="minorHAnsi" w:hAnsiTheme="minorHAnsi"/>
              </w:rPr>
              <w:t>Australian Government Chief Medical Officer</w:t>
            </w:r>
          </w:p>
        </w:tc>
        <w:tc>
          <w:tcPr>
            <w:tcW w:w="5103" w:type="dxa"/>
          </w:tcPr>
          <w:p w:rsidR="00210E99" w:rsidRDefault="00210E99" w:rsidP="00422660">
            <w:pPr>
              <w:rPr>
                <w:rFonts w:asciiTheme="minorHAnsi" w:hAnsiTheme="minorHAnsi"/>
                <w:b/>
              </w:rPr>
            </w:pPr>
            <w:r>
              <w:rPr>
                <w:rFonts w:asciiTheme="minorHAnsi" w:hAnsiTheme="minorHAnsi"/>
                <w:b/>
              </w:rPr>
              <w:t>Dr Mark Schipp</w:t>
            </w:r>
          </w:p>
          <w:p w:rsidR="00210E99" w:rsidRPr="006C1FCD" w:rsidRDefault="00210E99" w:rsidP="00422660">
            <w:pPr>
              <w:rPr>
                <w:rFonts w:asciiTheme="minorHAnsi" w:hAnsiTheme="minorHAnsi"/>
              </w:rPr>
            </w:pPr>
            <w:r>
              <w:rPr>
                <w:rFonts w:asciiTheme="minorHAnsi" w:hAnsiTheme="minorHAnsi"/>
              </w:rPr>
              <w:t>Australian Chief Veterinary Officer</w:t>
            </w:r>
          </w:p>
        </w:tc>
      </w:tr>
    </w:tbl>
    <w:p w:rsidR="00F94C37" w:rsidRPr="00D41907" w:rsidRDefault="00F94C37" w:rsidP="00D41907">
      <w:pPr>
        <w:pStyle w:val="Heading1"/>
      </w:pPr>
      <w:bookmarkStart w:id="1" w:name="_Toc498070410"/>
      <w:r w:rsidRPr="00D41907">
        <w:lastRenderedPageBreak/>
        <w:t>Introduction</w:t>
      </w:r>
      <w:bookmarkEnd w:id="1"/>
    </w:p>
    <w:p w:rsidR="00642450" w:rsidRDefault="007E7E4E" w:rsidP="00642450">
      <w:pPr>
        <w:rPr>
          <w:rFonts w:asciiTheme="minorHAnsi" w:hAnsiTheme="minorHAnsi"/>
        </w:rPr>
      </w:pPr>
      <w:r w:rsidRPr="00642450">
        <w:rPr>
          <w:rFonts w:asciiTheme="minorHAnsi" w:hAnsiTheme="minorHAnsi"/>
        </w:rPr>
        <w:t>A</w:t>
      </w:r>
      <w:r w:rsidR="00756A4F" w:rsidRPr="00642450">
        <w:rPr>
          <w:rFonts w:asciiTheme="minorHAnsi" w:hAnsiTheme="minorHAnsi"/>
        </w:rPr>
        <w:t>ntimicrobial resistance</w:t>
      </w:r>
      <w:r w:rsidR="00F94C37" w:rsidRPr="00642450">
        <w:rPr>
          <w:rFonts w:asciiTheme="minorHAnsi" w:hAnsiTheme="minorHAnsi"/>
        </w:rPr>
        <w:t xml:space="preserve"> is a global health priority and a</w:t>
      </w:r>
      <w:r w:rsidR="00253E9C" w:rsidRPr="00642450">
        <w:rPr>
          <w:rFonts w:asciiTheme="minorHAnsi" w:hAnsiTheme="minorHAnsi"/>
        </w:rPr>
        <w:t xml:space="preserve"> One Health issue requiring</w:t>
      </w:r>
      <w:r w:rsidR="00F94C37" w:rsidRPr="00642450">
        <w:rPr>
          <w:rFonts w:asciiTheme="minorHAnsi" w:hAnsiTheme="minorHAnsi"/>
        </w:rPr>
        <w:t xml:space="preserve"> coordinated action in all sectors where antimicrobials are used, including human </w:t>
      </w:r>
      <w:r w:rsidR="00AC081C" w:rsidRPr="00642450">
        <w:rPr>
          <w:rFonts w:asciiTheme="minorHAnsi" w:hAnsiTheme="minorHAnsi"/>
        </w:rPr>
        <w:t>and</w:t>
      </w:r>
      <w:r w:rsidR="00F94C37" w:rsidRPr="00642450">
        <w:rPr>
          <w:rFonts w:asciiTheme="minorHAnsi" w:hAnsiTheme="minorHAnsi"/>
        </w:rPr>
        <w:t xml:space="preserve"> animal heal</w:t>
      </w:r>
      <w:r w:rsidR="00A027A6" w:rsidRPr="00642450">
        <w:rPr>
          <w:rFonts w:asciiTheme="minorHAnsi" w:hAnsiTheme="minorHAnsi"/>
        </w:rPr>
        <w:t>th, agriculture</w:t>
      </w:r>
      <w:r w:rsidR="00731C95" w:rsidRPr="00642450">
        <w:rPr>
          <w:rFonts w:asciiTheme="minorHAnsi" w:hAnsiTheme="minorHAnsi"/>
        </w:rPr>
        <w:t xml:space="preserve"> and food</w:t>
      </w:r>
      <w:r w:rsidR="00756A4F" w:rsidRPr="00642450">
        <w:rPr>
          <w:rFonts w:asciiTheme="minorHAnsi" w:hAnsiTheme="minorHAnsi"/>
        </w:rPr>
        <w:t xml:space="preserve"> production</w:t>
      </w:r>
      <w:r w:rsidR="00F94C37" w:rsidRPr="00642450">
        <w:rPr>
          <w:rFonts w:asciiTheme="minorHAnsi" w:hAnsiTheme="minorHAnsi"/>
        </w:rPr>
        <w:t>.</w:t>
      </w:r>
    </w:p>
    <w:p w:rsidR="00914BE3" w:rsidRPr="00642450" w:rsidRDefault="00914BE3" w:rsidP="00642450">
      <w:pPr>
        <w:rPr>
          <w:rFonts w:asciiTheme="minorHAnsi" w:hAnsiTheme="minorHAnsi"/>
        </w:rPr>
      </w:pPr>
    </w:p>
    <w:p w:rsidR="00914BE3" w:rsidRDefault="00F94C37" w:rsidP="00642450">
      <w:pPr>
        <w:rPr>
          <w:rFonts w:asciiTheme="minorHAnsi" w:hAnsiTheme="minorHAnsi"/>
        </w:rPr>
      </w:pPr>
      <w:r w:rsidRPr="00642450">
        <w:rPr>
          <w:rFonts w:asciiTheme="minorHAnsi" w:hAnsiTheme="minorHAnsi"/>
        </w:rPr>
        <w:t xml:space="preserve">In June 2015, the Australian Government released its first </w:t>
      </w:r>
      <w:r w:rsidRPr="00642450">
        <w:rPr>
          <w:rFonts w:asciiTheme="minorHAnsi" w:hAnsiTheme="minorHAnsi"/>
          <w:i/>
        </w:rPr>
        <w:t xml:space="preserve">National </w:t>
      </w:r>
      <w:r w:rsidR="007E7E4E" w:rsidRPr="00642450">
        <w:rPr>
          <w:rFonts w:asciiTheme="minorHAnsi" w:hAnsiTheme="minorHAnsi"/>
          <w:i/>
        </w:rPr>
        <w:t>A</w:t>
      </w:r>
      <w:r w:rsidR="00756A4F" w:rsidRPr="00642450">
        <w:rPr>
          <w:rFonts w:asciiTheme="minorHAnsi" w:hAnsiTheme="minorHAnsi"/>
          <w:i/>
        </w:rPr>
        <w:t>ntimicrobial Resistance</w:t>
      </w:r>
      <w:r w:rsidRPr="00642450">
        <w:rPr>
          <w:rFonts w:asciiTheme="minorHAnsi" w:hAnsiTheme="minorHAnsi"/>
          <w:i/>
        </w:rPr>
        <w:t xml:space="preserve"> Strategy 2015–2019</w:t>
      </w:r>
      <w:r w:rsidRPr="00642450">
        <w:rPr>
          <w:rFonts w:asciiTheme="minorHAnsi" w:hAnsiTheme="minorHAnsi"/>
        </w:rPr>
        <w:t xml:space="preserve"> (the Strategy) with the goal of minimising the development and spread of AMR and ensuring the continued availability of effective antimicrobials. The Strategy aligns with the World Health Organization’s Global Action Plan on </w:t>
      </w:r>
      <w:r w:rsidR="007E7E4E" w:rsidRPr="00642450">
        <w:rPr>
          <w:rFonts w:asciiTheme="minorHAnsi" w:hAnsiTheme="minorHAnsi"/>
        </w:rPr>
        <w:t>AMR</w:t>
      </w:r>
      <w:r w:rsidRPr="00642450">
        <w:rPr>
          <w:rFonts w:asciiTheme="minorHAnsi" w:hAnsiTheme="minorHAnsi"/>
        </w:rPr>
        <w:t xml:space="preserve"> and </w:t>
      </w:r>
      <w:r w:rsidR="00756A4F" w:rsidRPr="00642450">
        <w:rPr>
          <w:rFonts w:asciiTheme="minorHAnsi" w:hAnsiTheme="minorHAnsi"/>
        </w:rPr>
        <w:t xml:space="preserve">provides </w:t>
      </w:r>
      <w:r w:rsidRPr="00642450">
        <w:rPr>
          <w:rFonts w:asciiTheme="minorHAnsi" w:hAnsiTheme="minorHAnsi"/>
        </w:rPr>
        <w:t>the framework for</w:t>
      </w:r>
      <w:r w:rsidR="00914BE3">
        <w:rPr>
          <w:rFonts w:asciiTheme="minorHAnsi" w:hAnsiTheme="minorHAnsi"/>
        </w:rPr>
        <w:t xml:space="preserve"> Australia’s national response.</w:t>
      </w:r>
    </w:p>
    <w:p w:rsidR="00914BE3" w:rsidRDefault="00914BE3" w:rsidP="00642450">
      <w:pPr>
        <w:rPr>
          <w:rFonts w:asciiTheme="minorHAnsi" w:hAnsiTheme="minorHAnsi"/>
        </w:rPr>
      </w:pPr>
    </w:p>
    <w:p w:rsidR="00F94C37" w:rsidRPr="00642450" w:rsidRDefault="00F94C37" w:rsidP="00914BE3">
      <w:pPr>
        <w:spacing w:after="120"/>
        <w:rPr>
          <w:rFonts w:asciiTheme="minorHAnsi" w:hAnsiTheme="minorHAnsi"/>
        </w:rPr>
      </w:pPr>
      <w:r w:rsidRPr="00642450">
        <w:rPr>
          <w:rFonts w:asciiTheme="minorHAnsi" w:hAnsiTheme="minorHAnsi"/>
        </w:rPr>
        <w:t>The Strategy supports a One Health approach</w:t>
      </w:r>
      <w:r w:rsidR="00756A4F" w:rsidRPr="00642450">
        <w:rPr>
          <w:rFonts w:asciiTheme="minorHAnsi" w:hAnsiTheme="minorHAnsi"/>
        </w:rPr>
        <w:t xml:space="preserve"> with</w:t>
      </w:r>
      <w:r w:rsidRPr="00642450">
        <w:rPr>
          <w:rFonts w:asciiTheme="minorHAnsi" w:hAnsiTheme="minorHAnsi"/>
        </w:rPr>
        <w:t xml:space="preserve"> seven common objectives across </w:t>
      </w:r>
      <w:r w:rsidR="00756A4F" w:rsidRPr="00642450">
        <w:rPr>
          <w:rFonts w:asciiTheme="minorHAnsi" w:hAnsiTheme="minorHAnsi"/>
        </w:rPr>
        <w:t xml:space="preserve">the </w:t>
      </w:r>
      <w:r w:rsidRPr="00642450">
        <w:rPr>
          <w:rFonts w:asciiTheme="minorHAnsi" w:hAnsiTheme="minorHAnsi"/>
        </w:rPr>
        <w:t xml:space="preserve">human </w:t>
      </w:r>
      <w:r w:rsidR="00AC081C" w:rsidRPr="00642450">
        <w:rPr>
          <w:rFonts w:asciiTheme="minorHAnsi" w:hAnsiTheme="minorHAnsi"/>
        </w:rPr>
        <w:t>and</w:t>
      </w:r>
      <w:r w:rsidRPr="00642450">
        <w:rPr>
          <w:rFonts w:asciiTheme="minorHAnsi" w:hAnsiTheme="minorHAnsi"/>
        </w:rPr>
        <w:t xml:space="preserve"> animal health</w:t>
      </w:r>
      <w:r w:rsidR="00AC081C" w:rsidRPr="00642450">
        <w:rPr>
          <w:rFonts w:asciiTheme="minorHAnsi" w:hAnsiTheme="minorHAnsi"/>
        </w:rPr>
        <w:t>,</w:t>
      </w:r>
      <w:r w:rsidRPr="00642450">
        <w:rPr>
          <w:rFonts w:asciiTheme="minorHAnsi" w:hAnsiTheme="minorHAnsi"/>
        </w:rPr>
        <w:t xml:space="preserve"> </w:t>
      </w:r>
      <w:r w:rsidR="00026D67" w:rsidRPr="00642450">
        <w:rPr>
          <w:rFonts w:asciiTheme="minorHAnsi" w:hAnsiTheme="minorHAnsi"/>
        </w:rPr>
        <w:t>agriculture</w:t>
      </w:r>
      <w:r w:rsidR="00AC081C" w:rsidRPr="00642450">
        <w:rPr>
          <w:rFonts w:asciiTheme="minorHAnsi" w:hAnsiTheme="minorHAnsi"/>
        </w:rPr>
        <w:t>, and food</w:t>
      </w:r>
      <w:r w:rsidRPr="00642450">
        <w:rPr>
          <w:rFonts w:asciiTheme="minorHAnsi" w:hAnsiTheme="minorHAnsi"/>
        </w:rPr>
        <w:t xml:space="preserve"> sectors</w:t>
      </w:r>
      <w:r w:rsidR="00537FA4" w:rsidRPr="00642450">
        <w:rPr>
          <w:rFonts w:asciiTheme="minorHAnsi" w:hAnsiTheme="minorHAnsi"/>
        </w:rPr>
        <w:t>:</w:t>
      </w:r>
    </w:p>
    <w:p w:rsidR="00F94C37" w:rsidRPr="00642450" w:rsidRDefault="00756A4F" w:rsidP="00642450">
      <w:pPr>
        <w:pStyle w:val="ListParagraph"/>
        <w:numPr>
          <w:ilvl w:val="0"/>
          <w:numId w:val="5"/>
        </w:numPr>
        <w:rPr>
          <w:rFonts w:asciiTheme="minorHAnsi" w:hAnsiTheme="minorHAnsi"/>
        </w:rPr>
      </w:pPr>
      <w:r w:rsidRPr="00642450">
        <w:rPr>
          <w:rFonts w:asciiTheme="minorHAnsi" w:hAnsiTheme="minorHAnsi"/>
        </w:rPr>
        <w:t>increase awareness and understanding of AMR</w:t>
      </w:r>
    </w:p>
    <w:p w:rsidR="00F94C37" w:rsidRPr="00642450" w:rsidRDefault="00756A4F" w:rsidP="00642450">
      <w:pPr>
        <w:pStyle w:val="ListParagraph"/>
        <w:numPr>
          <w:ilvl w:val="0"/>
          <w:numId w:val="5"/>
        </w:numPr>
        <w:rPr>
          <w:rFonts w:asciiTheme="minorHAnsi" w:hAnsiTheme="minorHAnsi"/>
        </w:rPr>
      </w:pPr>
      <w:r w:rsidRPr="00642450">
        <w:rPr>
          <w:rFonts w:asciiTheme="minorHAnsi" w:hAnsiTheme="minorHAnsi"/>
        </w:rPr>
        <w:t>implement effective a</w:t>
      </w:r>
      <w:r w:rsidR="00F94C37" w:rsidRPr="00642450">
        <w:rPr>
          <w:rFonts w:asciiTheme="minorHAnsi" w:hAnsiTheme="minorHAnsi"/>
        </w:rPr>
        <w:t>ntimicrobial stewardship</w:t>
      </w:r>
    </w:p>
    <w:p w:rsidR="00F94C37" w:rsidRPr="00642450" w:rsidRDefault="00756A4F" w:rsidP="00642450">
      <w:pPr>
        <w:pStyle w:val="ListParagraph"/>
        <w:numPr>
          <w:ilvl w:val="0"/>
          <w:numId w:val="5"/>
        </w:numPr>
        <w:tabs>
          <w:tab w:val="left" w:pos="720"/>
          <w:tab w:val="left" w:pos="1440"/>
          <w:tab w:val="left" w:pos="2100"/>
        </w:tabs>
        <w:rPr>
          <w:rFonts w:asciiTheme="minorHAnsi" w:hAnsiTheme="minorHAnsi"/>
        </w:rPr>
      </w:pPr>
      <w:r w:rsidRPr="00642450">
        <w:rPr>
          <w:rFonts w:asciiTheme="minorHAnsi" w:hAnsiTheme="minorHAnsi"/>
        </w:rPr>
        <w:t>develop integrated national s</w:t>
      </w:r>
      <w:r w:rsidR="00F94C37" w:rsidRPr="00642450">
        <w:rPr>
          <w:rFonts w:asciiTheme="minorHAnsi" w:hAnsiTheme="minorHAnsi"/>
        </w:rPr>
        <w:t>urveillance</w:t>
      </w:r>
    </w:p>
    <w:p w:rsidR="00F94C37" w:rsidRPr="00642450" w:rsidRDefault="00756A4F" w:rsidP="00642450">
      <w:pPr>
        <w:pStyle w:val="ListParagraph"/>
        <w:numPr>
          <w:ilvl w:val="0"/>
          <w:numId w:val="5"/>
        </w:numPr>
        <w:rPr>
          <w:rFonts w:asciiTheme="minorHAnsi" w:hAnsiTheme="minorHAnsi"/>
        </w:rPr>
      </w:pPr>
      <w:r w:rsidRPr="00642450">
        <w:rPr>
          <w:rFonts w:asciiTheme="minorHAnsi" w:hAnsiTheme="minorHAnsi"/>
        </w:rPr>
        <w:t xml:space="preserve">improve infection </w:t>
      </w:r>
      <w:r w:rsidR="00F94C37" w:rsidRPr="00642450">
        <w:rPr>
          <w:rFonts w:asciiTheme="minorHAnsi" w:hAnsiTheme="minorHAnsi"/>
        </w:rPr>
        <w:t xml:space="preserve">prevention and control </w:t>
      </w:r>
      <w:r w:rsidRPr="00642450">
        <w:rPr>
          <w:rFonts w:asciiTheme="minorHAnsi" w:hAnsiTheme="minorHAnsi"/>
        </w:rPr>
        <w:t>practices</w:t>
      </w:r>
    </w:p>
    <w:p w:rsidR="00F94C37" w:rsidRPr="00642450" w:rsidRDefault="00756A4F" w:rsidP="00642450">
      <w:pPr>
        <w:pStyle w:val="ListParagraph"/>
        <w:numPr>
          <w:ilvl w:val="0"/>
          <w:numId w:val="5"/>
        </w:numPr>
        <w:rPr>
          <w:rFonts w:asciiTheme="minorHAnsi" w:hAnsiTheme="minorHAnsi"/>
        </w:rPr>
      </w:pPr>
      <w:r w:rsidRPr="00642450">
        <w:rPr>
          <w:rFonts w:asciiTheme="minorHAnsi" w:hAnsiTheme="minorHAnsi"/>
        </w:rPr>
        <w:t>develop a n</w:t>
      </w:r>
      <w:r w:rsidR="00F94C37" w:rsidRPr="00642450">
        <w:rPr>
          <w:rFonts w:asciiTheme="minorHAnsi" w:hAnsiTheme="minorHAnsi"/>
        </w:rPr>
        <w:t xml:space="preserve">ational </w:t>
      </w:r>
      <w:r w:rsidRPr="00642450">
        <w:rPr>
          <w:rFonts w:asciiTheme="minorHAnsi" w:hAnsiTheme="minorHAnsi"/>
        </w:rPr>
        <w:t xml:space="preserve">AMR </w:t>
      </w:r>
      <w:r w:rsidR="00F94C37" w:rsidRPr="00642450">
        <w:rPr>
          <w:rFonts w:asciiTheme="minorHAnsi" w:hAnsiTheme="minorHAnsi"/>
        </w:rPr>
        <w:t>research agenda</w:t>
      </w:r>
    </w:p>
    <w:p w:rsidR="00F94C37" w:rsidRPr="00642450" w:rsidRDefault="00756A4F" w:rsidP="00642450">
      <w:pPr>
        <w:pStyle w:val="ListParagraph"/>
        <w:numPr>
          <w:ilvl w:val="0"/>
          <w:numId w:val="5"/>
        </w:numPr>
        <w:rPr>
          <w:rFonts w:asciiTheme="minorHAnsi" w:hAnsiTheme="minorHAnsi"/>
        </w:rPr>
      </w:pPr>
      <w:r w:rsidRPr="00642450">
        <w:rPr>
          <w:rFonts w:asciiTheme="minorHAnsi" w:hAnsiTheme="minorHAnsi"/>
        </w:rPr>
        <w:t>s</w:t>
      </w:r>
      <w:r w:rsidR="00F94C37" w:rsidRPr="00642450">
        <w:rPr>
          <w:rFonts w:asciiTheme="minorHAnsi" w:hAnsiTheme="minorHAnsi"/>
        </w:rPr>
        <w:t>trengthen international partnerships</w:t>
      </w:r>
    </w:p>
    <w:p w:rsidR="00F94C37" w:rsidRPr="00642450" w:rsidRDefault="00756A4F" w:rsidP="00642450">
      <w:pPr>
        <w:pStyle w:val="ListParagraph"/>
        <w:numPr>
          <w:ilvl w:val="0"/>
          <w:numId w:val="5"/>
        </w:numPr>
        <w:rPr>
          <w:rFonts w:asciiTheme="minorHAnsi" w:hAnsiTheme="minorHAnsi"/>
        </w:rPr>
      </w:pPr>
      <w:r w:rsidRPr="00642450">
        <w:rPr>
          <w:rFonts w:asciiTheme="minorHAnsi" w:hAnsiTheme="minorHAnsi"/>
        </w:rPr>
        <w:t>establish c</w:t>
      </w:r>
      <w:r w:rsidR="00F94C37" w:rsidRPr="00642450">
        <w:rPr>
          <w:rFonts w:asciiTheme="minorHAnsi" w:hAnsiTheme="minorHAnsi"/>
        </w:rPr>
        <w:t>lear governance arrangements</w:t>
      </w:r>
    </w:p>
    <w:p w:rsidR="00914BE3" w:rsidRDefault="00914BE3" w:rsidP="00642450">
      <w:pPr>
        <w:rPr>
          <w:rFonts w:asciiTheme="minorHAnsi" w:hAnsiTheme="minorHAnsi"/>
        </w:rPr>
      </w:pPr>
    </w:p>
    <w:p w:rsidR="00F94C37" w:rsidRPr="00642450" w:rsidRDefault="00F94C37" w:rsidP="00642450">
      <w:pPr>
        <w:rPr>
          <w:rFonts w:asciiTheme="minorHAnsi" w:hAnsiTheme="minorHAnsi"/>
        </w:rPr>
      </w:pPr>
      <w:r w:rsidRPr="00642450">
        <w:rPr>
          <w:rFonts w:asciiTheme="minorHAnsi" w:hAnsiTheme="minorHAnsi"/>
        </w:rPr>
        <w:t>The Implementation Plan (the Plan) to support the St</w:t>
      </w:r>
      <w:r w:rsidR="00286930" w:rsidRPr="00642450">
        <w:rPr>
          <w:rFonts w:asciiTheme="minorHAnsi" w:hAnsiTheme="minorHAnsi"/>
        </w:rPr>
        <w:t>rategy was released in November </w:t>
      </w:r>
      <w:r w:rsidRPr="00642450">
        <w:rPr>
          <w:rFonts w:asciiTheme="minorHAnsi" w:hAnsiTheme="minorHAnsi"/>
        </w:rPr>
        <w:t xml:space="preserve">2016. The Plan outlines specific focus areas for action, and includes a stocktake of activities being undertaken by stakeholders that contribute to the achievement of </w:t>
      </w:r>
      <w:r w:rsidR="00CA7C58" w:rsidRPr="00642450">
        <w:rPr>
          <w:rFonts w:asciiTheme="minorHAnsi" w:hAnsiTheme="minorHAnsi"/>
        </w:rPr>
        <w:t xml:space="preserve">the </w:t>
      </w:r>
      <w:r w:rsidRPr="00642450">
        <w:rPr>
          <w:rFonts w:asciiTheme="minorHAnsi" w:hAnsiTheme="minorHAnsi"/>
        </w:rPr>
        <w:t>objectives. All activities co</w:t>
      </w:r>
      <w:r w:rsidR="00A027A6" w:rsidRPr="00642450">
        <w:rPr>
          <w:rFonts w:asciiTheme="minorHAnsi" w:hAnsiTheme="minorHAnsi"/>
        </w:rPr>
        <w:t>ntained within the Plan will have the opportunity to</w:t>
      </w:r>
      <w:r w:rsidR="0004330D" w:rsidRPr="00642450">
        <w:rPr>
          <w:rFonts w:asciiTheme="minorHAnsi" w:hAnsiTheme="minorHAnsi"/>
        </w:rPr>
        <w:t xml:space="preserve"> be </w:t>
      </w:r>
      <w:r w:rsidRPr="00642450">
        <w:rPr>
          <w:rFonts w:asciiTheme="minorHAnsi" w:hAnsiTheme="minorHAnsi"/>
        </w:rPr>
        <w:t>published on the newly developed national One Health AMR website, which will provide a platform for collaboration and information sharing.</w:t>
      </w:r>
    </w:p>
    <w:p w:rsidR="00914BE3" w:rsidRDefault="00914BE3" w:rsidP="00642450">
      <w:pPr>
        <w:rPr>
          <w:rFonts w:asciiTheme="minorHAnsi" w:hAnsiTheme="minorHAnsi"/>
        </w:rPr>
      </w:pPr>
    </w:p>
    <w:p w:rsidR="00CA7C58" w:rsidRPr="00642450" w:rsidRDefault="00605435" w:rsidP="00642450">
      <w:pPr>
        <w:rPr>
          <w:rFonts w:asciiTheme="minorHAnsi" w:hAnsiTheme="minorHAnsi"/>
        </w:rPr>
      </w:pPr>
      <w:r w:rsidRPr="00642450">
        <w:rPr>
          <w:rFonts w:asciiTheme="minorHAnsi" w:hAnsiTheme="minorHAnsi"/>
        </w:rPr>
        <w:t xml:space="preserve">This first Progress Report highlights </w:t>
      </w:r>
      <w:r w:rsidR="00213660" w:rsidRPr="00642450">
        <w:rPr>
          <w:rFonts w:asciiTheme="minorHAnsi" w:hAnsiTheme="minorHAnsi"/>
        </w:rPr>
        <w:t xml:space="preserve">some of the </w:t>
      </w:r>
      <w:r w:rsidRPr="00642450">
        <w:rPr>
          <w:rFonts w:asciiTheme="minorHAnsi" w:hAnsiTheme="minorHAnsi"/>
        </w:rPr>
        <w:t>activities undertaken in Australia in the first two years of the Strategy</w:t>
      </w:r>
      <w:r w:rsidR="00F37934" w:rsidRPr="00642450">
        <w:rPr>
          <w:rFonts w:asciiTheme="minorHAnsi" w:hAnsiTheme="minorHAnsi"/>
        </w:rPr>
        <w:t xml:space="preserve"> (2015-2017)</w:t>
      </w:r>
      <w:r w:rsidR="00CA7C58" w:rsidRPr="00642450">
        <w:rPr>
          <w:rFonts w:asciiTheme="minorHAnsi" w:hAnsiTheme="minorHAnsi"/>
        </w:rPr>
        <w:t>,</w:t>
      </w:r>
      <w:r w:rsidRPr="00642450">
        <w:rPr>
          <w:rFonts w:asciiTheme="minorHAnsi" w:hAnsiTheme="minorHAnsi"/>
        </w:rPr>
        <w:t xml:space="preserve"> as well as </w:t>
      </w:r>
      <w:r w:rsidR="0004330D" w:rsidRPr="00642450">
        <w:rPr>
          <w:rFonts w:asciiTheme="minorHAnsi" w:hAnsiTheme="minorHAnsi"/>
        </w:rPr>
        <w:t xml:space="preserve">challenges and </w:t>
      </w:r>
      <w:r w:rsidR="00253E9C" w:rsidRPr="00642450">
        <w:rPr>
          <w:rFonts w:asciiTheme="minorHAnsi" w:hAnsiTheme="minorHAnsi"/>
        </w:rPr>
        <w:t>areas for continued or</w:t>
      </w:r>
      <w:r w:rsidRPr="00642450">
        <w:rPr>
          <w:rFonts w:asciiTheme="minorHAnsi" w:hAnsiTheme="minorHAnsi"/>
        </w:rPr>
        <w:t xml:space="preserve"> future action. </w:t>
      </w:r>
      <w:r w:rsidR="00213660" w:rsidRPr="00642450">
        <w:rPr>
          <w:rFonts w:asciiTheme="minorHAnsi" w:hAnsiTheme="minorHAnsi"/>
        </w:rPr>
        <w:t>This report does not attempt to capture the full range of AMR-related initiatives and activities currently underway in Australia. Australi</w:t>
      </w:r>
      <w:r w:rsidR="00FC2211" w:rsidRPr="00642450">
        <w:rPr>
          <w:rFonts w:asciiTheme="minorHAnsi" w:hAnsiTheme="minorHAnsi"/>
        </w:rPr>
        <w:t xml:space="preserve">a’s new </w:t>
      </w:r>
      <w:r w:rsidR="00C63A1C" w:rsidRPr="00642450">
        <w:rPr>
          <w:rFonts w:asciiTheme="minorHAnsi" w:hAnsiTheme="minorHAnsi"/>
        </w:rPr>
        <w:t xml:space="preserve">One Health </w:t>
      </w:r>
      <w:r w:rsidR="00950B9D" w:rsidRPr="00642450">
        <w:rPr>
          <w:rFonts w:asciiTheme="minorHAnsi" w:hAnsiTheme="minorHAnsi"/>
        </w:rPr>
        <w:t xml:space="preserve">AMR </w:t>
      </w:r>
      <w:r w:rsidR="00CA7C58" w:rsidRPr="00642450">
        <w:rPr>
          <w:rFonts w:asciiTheme="minorHAnsi" w:hAnsiTheme="minorHAnsi"/>
        </w:rPr>
        <w:t>w</w:t>
      </w:r>
      <w:r w:rsidR="00950B9D" w:rsidRPr="00642450">
        <w:rPr>
          <w:rFonts w:asciiTheme="minorHAnsi" w:hAnsiTheme="minorHAnsi"/>
        </w:rPr>
        <w:t xml:space="preserve">ebsite </w:t>
      </w:r>
      <w:r w:rsidR="00FC2211" w:rsidRPr="00642450">
        <w:rPr>
          <w:rFonts w:asciiTheme="minorHAnsi" w:hAnsiTheme="minorHAnsi"/>
        </w:rPr>
        <w:t>house</w:t>
      </w:r>
      <w:r w:rsidR="00950B9D" w:rsidRPr="00642450">
        <w:rPr>
          <w:rFonts w:asciiTheme="minorHAnsi" w:hAnsiTheme="minorHAnsi"/>
        </w:rPr>
        <w:t>s</w:t>
      </w:r>
      <w:r w:rsidR="00213660" w:rsidRPr="00642450">
        <w:rPr>
          <w:rFonts w:asciiTheme="minorHAnsi" w:hAnsiTheme="minorHAnsi"/>
        </w:rPr>
        <w:t xml:space="preserve"> a ‘research and activities </w:t>
      </w:r>
      <w:r w:rsidR="00497F5B" w:rsidRPr="00642450">
        <w:rPr>
          <w:rFonts w:asciiTheme="minorHAnsi" w:hAnsiTheme="minorHAnsi"/>
        </w:rPr>
        <w:t>directory</w:t>
      </w:r>
      <w:r w:rsidR="00950B9D" w:rsidRPr="00642450">
        <w:rPr>
          <w:rFonts w:asciiTheme="minorHAnsi" w:hAnsiTheme="minorHAnsi"/>
        </w:rPr>
        <w:t xml:space="preserve">’ which </w:t>
      </w:r>
      <w:r w:rsidR="00213660" w:rsidRPr="00642450">
        <w:rPr>
          <w:rFonts w:asciiTheme="minorHAnsi" w:hAnsiTheme="minorHAnsi"/>
        </w:rPr>
        <w:t>provide</w:t>
      </w:r>
      <w:r w:rsidR="00950B9D" w:rsidRPr="00642450">
        <w:rPr>
          <w:rFonts w:asciiTheme="minorHAnsi" w:hAnsiTheme="minorHAnsi"/>
        </w:rPr>
        <w:t>s</w:t>
      </w:r>
      <w:r w:rsidR="00213660" w:rsidRPr="00642450">
        <w:rPr>
          <w:rFonts w:asciiTheme="minorHAnsi" w:hAnsiTheme="minorHAnsi"/>
        </w:rPr>
        <w:t xml:space="preserve"> a mechanism for sharing information</w:t>
      </w:r>
      <w:r w:rsidR="00C63A1C" w:rsidRPr="00642450">
        <w:rPr>
          <w:rFonts w:asciiTheme="minorHAnsi" w:hAnsiTheme="minorHAnsi"/>
        </w:rPr>
        <w:t xml:space="preserve"> and improving collaboration</w:t>
      </w:r>
      <w:r w:rsidR="00213660" w:rsidRPr="00642450">
        <w:rPr>
          <w:rFonts w:asciiTheme="minorHAnsi" w:hAnsiTheme="minorHAnsi"/>
        </w:rPr>
        <w:t xml:space="preserve"> on AMR-related initiatives. </w:t>
      </w:r>
      <w:r w:rsidR="00E9239B" w:rsidRPr="00642450">
        <w:rPr>
          <w:rFonts w:asciiTheme="minorHAnsi" w:hAnsiTheme="minorHAnsi"/>
        </w:rPr>
        <w:t>Through the website, organisations can provide status updates on current projects, and information on new projects as they commence.</w:t>
      </w:r>
    </w:p>
    <w:p w:rsidR="00CA7C58" w:rsidRPr="00642450" w:rsidRDefault="00CA7C58" w:rsidP="00642450">
      <w:pPr>
        <w:rPr>
          <w:rFonts w:asciiTheme="minorHAnsi" w:hAnsiTheme="minorHAnsi"/>
        </w:rPr>
      </w:pPr>
    </w:p>
    <w:p w:rsidR="00CB7607" w:rsidRPr="00642450" w:rsidRDefault="00213660" w:rsidP="00642450">
      <w:pPr>
        <w:rPr>
          <w:rFonts w:asciiTheme="minorHAnsi" w:hAnsiTheme="minorHAnsi" w:cs="Arial"/>
          <w:b/>
          <w:bCs/>
          <w:kern w:val="28"/>
          <w:sz w:val="28"/>
          <w:szCs w:val="32"/>
        </w:rPr>
      </w:pPr>
      <w:r w:rsidRPr="00642450">
        <w:rPr>
          <w:rFonts w:asciiTheme="minorHAnsi" w:hAnsiTheme="minorHAnsi"/>
        </w:rPr>
        <w:t xml:space="preserve">More information </w:t>
      </w:r>
      <w:r w:rsidR="00CA7C58" w:rsidRPr="00642450">
        <w:rPr>
          <w:rFonts w:asciiTheme="minorHAnsi" w:hAnsiTheme="minorHAnsi"/>
        </w:rPr>
        <w:t>about the research and activities directory</w:t>
      </w:r>
      <w:r w:rsidRPr="00642450">
        <w:rPr>
          <w:rFonts w:asciiTheme="minorHAnsi" w:hAnsiTheme="minorHAnsi"/>
        </w:rPr>
        <w:t xml:space="preserve"> (including how to upload your activity/research) can be found </w:t>
      </w:r>
      <w:r w:rsidR="004352DE" w:rsidRPr="00642450">
        <w:rPr>
          <w:rFonts w:asciiTheme="minorHAnsi" w:hAnsiTheme="minorHAnsi"/>
        </w:rPr>
        <w:t>on the</w:t>
      </w:r>
      <w:r w:rsidR="00EC06CC" w:rsidRPr="00642450">
        <w:rPr>
          <w:rFonts w:asciiTheme="minorHAnsi" w:hAnsiTheme="minorHAnsi"/>
        </w:rPr>
        <w:t xml:space="preserve"> </w:t>
      </w:r>
      <w:hyperlink r:id="rId12" w:history="1">
        <w:r w:rsidR="00EC06CC" w:rsidRPr="00642450">
          <w:rPr>
            <w:rStyle w:val="Hyperlink"/>
            <w:rFonts w:asciiTheme="minorHAnsi" w:hAnsiTheme="minorHAnsi"/>
          </w:rPr>
          <w:t>Australian Government's AMR website</w:t>
        </w:r>
      </w:hyperlink>
      <w:r w:rsidR="00691A93" w:rsidRPr="00642450">
        <w:rPr>
          <w:rFonts w:asciiTheme="minorHAnsi" w:hAnsiTheme="minorHAnsi"/>
        </w:rPr>
        <w:t>.</w:t>
      </w:r>
      <w:r w:rsidR="00CB7607" w:rsidRPr="00642450">
        <w:rPr>
          <w:rFonts w:asciiTheme="minorHAnsi" w:hAnsiTheme="minorHAnsi"/>
        </w:rPr>
        <w:br w:type="page"/>
      </w:r>
    </w:p>
    <w:p w:rsidR="00F45A0F" w:rsidRPr="00902E66" w:rsidRDefault="00FA7F0A" w:rsidP="00902E66">
      <w:pPr>
        <w:pStyle w:val="Heading1"/>
      </w:pPr>
      <w:bookmarkStart w:id="2" w:name="_Toc498070411"/>
      <w:r w:rsidRPr="00902E66">
        <w:lastRenderedPageBreak/>
        <w:t>Current Trends</w:t>
      </w:r>
      <w:bookmarkEnd w:id="2"/>
      <w:r w:rsidR="00253E9C" w:rsidRPr="00902E66">
        <w:t xml:space="preserve"> </w:t>
      </w:r>
    </w:p>
    <w:p w:rsidR="00853C4E" w:rsidRPr="005A4FFE" w:rsidRDefault="005C3C10" w:rsidP="00902E66">
      <w:pPr>
        <w:pStyle w:val="Heading2"/>
      </w:pPr>
      <w:bookmarkStart w:id="3" w:name="_Toc498070412"/>
      <w:r w:rsidRPr="005A4FFE">
        <w:t>A</w:t>
      </w:r>
      <w:r w:rsidR="00853C4E" w:rsidRPr="005A4FFE">
        <w:t>ntibiotic resistance</w:t>
      </w:r>
      <w:bookmarkEnd w:id="3"/>
    </w:p>
    <w:p w:rsidR="00E475D8" w:rsidRDefault="00686AFD" w:rsidP="00E475D8">
      <w:pPr>
        <w:spacing w:after="120"/>
        <w:rPr>
          <w:rFonts w:asciiTheme="minorHAnsi" w:hAnsiTheme="minorHAnsi"/>
        </w:rPr>
      </w:pPr>
      <w:r w:rsidRPr="00E475D8">
        <w:rPr>
          <w:rFonts w:asciiTheme="minorHAnsi" w:hAnsiTheme="minorHAnsi"/>
        </w:rPr>
        <w:t>A</w:t>
      </w:r>
      <w:r w:rsidR="00EB502A">
        <w:rPr>
          <w:rFonts w:asciiTheme="minorHAnsi" w:hAnsiTheme="minorHAnsi"/>
        </w:rPr>
        <w:t>ntimicrobial resistance</w:t>
      </w:r>
      <w:r w:rsidR="00853C4E" w:rsidRPr="00E475D8">
        <w:rPr>
          <w:rFonts w:asciiTheme="minorHAnsi" w:hAnsiTheme="minorHAnsi"/>
        </w:rPr>
        <w:t xml:space="preserve"> continues to be a</w:t>
      </w:r>
      <w:r w:rsidR="00253E9C" w:rsidRPr="00E475D8">
        <w:rPr>
          <w:rFonts w:asciiTheme="minorHAnsi" w:hAnsiTheme="minorHAnsi"/>
        </w:rPr>
        <w:t xml:space="preserve"> </w:t>
      </w:r>
      <w:r w:rsidR="00853C4E" w:rsidRPr="00E475D8">
        <w:rPr>
          <w:rFonts w:asciiTheme="minorHAnsi" w:hAnsiTheme="minorHAnsi"/>
        </w:rPr>
        <w:t>significant</w:t>
      </w:r>
      <w:r w:rsidR="00253E9C" w:rsidRPr="00E475D8">
        <w:rPr>
          <w:rFonts w:asciiTheme="minorHAnsi" w:hAnsiTheme="minorHAnsi"/>
        </w:rPr>
        <w:t xml:space="preserve"> issue</w:t>
      </w:r>
      <w:r w:rsidR="00853C4E" w:rsidRPr="00E475D8">
        <w:rPr>
          <w:rFonts w:asciiTheme="minorHAnsi" w:hAnsiTheme="minorHAnsi"/>
        </w:rPr>
        <w:t xml:space="preserve"> for health care in Australia and globally. </w:t>
      </w:r>
      <w:r w:rsidR="00F32456" w:rsidRPr="00E475D8">
        <w:rPr>
          <w:rFonts w:asciiTheme="minorHAnsi" w:hAnsiTheme="minorHAnsi"/>
        </w:rPr>
        <w:t>In order to understand the impact of activities under the National AMR Strategy data on AMR and antibiotic usage needs to b</w:t>
      </w:r>
      <w:r w:rsidR="009A73A6" w:rsidRPr="00E475D8">
        <w:rPr>
          <w:rFonts w:asciiTheme="minorHAnsi" w:hAnsiTheme="minorHAnsi"/>
        </w:rPr>
        <w:t>e reviewed on a regular basis.</w:t>
      </w:r>
    </w:p>
    <w:p w:rsidR="005C1F61" w:rsidRDefault="00853C4E" w:rsidP="002B5A59">
      <w:pPr>
        <w:spacing w:after="120"/>
        <w:rPr>
          <w:rFonts w:asciiTheme="minorHAnsi" w:hAnsiTheme="minorHAnsi"/>
        </w:rPr>
      </w:pPr>
      <w:r>
        <w:rPr>
          <w:rFonts w:asciiTheme="minorHAnsi" w:hAnsiTheme="minorHAnsi"/>
        </w:rPr>
        <w:t xml:space="preserve">The second </w:t>
      </w:r>
      <w:r w:rsidRPr="00231663">
        <w:rPr>
          <w:rFonts w:asciiTheme="minorHAnsi" w:hAnsiTheme="minorHAnsi"/>
          <w:i/>
        </w:rPr>
        <w:t xml:space="preserve">Australian report on antimicrobial use and resistance in human health </w:t>
      </w:r>
      <w:r w:rsidRPr="006D7D9C">
        <w:rPr>
          <w:rFonts w:asciiTheme="minorHAnsi" w:hAnsiTheme="minorHAnsi"/>
        </w:rPr>
        <w:t>(AURA 2017)</w:t>
      </w:r>
      <w:r>
        <w:rPr>
          <w:rFonts w:asciiTheme="minorHAnsi" w:hAnsiTheme="minorHAnsi"/>
        </w:rPr>
        <w:t xml:space="preserve"> provides data and analysis from the Antimicrobial Use and Resistance in Australia (AURA) </w:t>
      </w:r>
      <w:r w:rsidR="006D7D9C">
        <w:rPr>
          <w:rFonts w:asciiTheme="minorHAnsi" w:hAnsiTheme="minorHAnsi"/>
        </w:rPr>
        <w:t>s</w:t>
      </w:r>
      <w:r>
        <w:rPr>
          <w:rFonts w:asciiTheme="minorHAnsi" w:hAnsiTheme="minorHAnsi"/>
        </w:rPr>
        <w:t>urveillan</w:t>
      </w:r>
      <w:r w:rsidR="005F2E27">
        <w:rPr>
          <w:rFonts w:asciiTheme="minorHAnsi" w:hAnsiTheme="minorHAnsi"/>
        </w:rPr>
        <w:t xml:space="preserve">ce </w:t>
      </w:r>
      <w:r w:rsidR="006D7D9C">
        <w:rPr>
          <w:rFonts w:asciiTheme="minorHAnsi" w:hAnsiTheme="minorHAnsi"/>
        </w:rPr>
        <w:t>s</w:t>
      </w:r>
      <w:r w:rsidR="005F2E27">
        <w:rPr>
          <w:rFonts w:asciiTheme="minorHAnsi" w:hAnsiTheme="minorHAnsi"/>
        </w:rPr>
        <w:t>ystem, primarily from 2015.</w:t>
      </w:r>
    </w:p>
    <w:p w:rsidR="00853C4E" w:rsidRDefault="002B5A59" w:rsidP="002B5A59">
      <w:pPr>
        <w:spacing w:after="120"/>
        <w:rPr>
          <w:rFonts w:asciiTheme="minorHAnsi" w:hAnsiTheme="minorHAnsi"/>
        </w:rPr>
      </w:pPr>
      <w:r>
        <w:rPr>
          <w:rFonts w:asciiTheme="minorHAnsi" w:hAnsiTheme="minorHAnsi"/>
        </w:rPr>
        <w:t xml:space="preserve">Key issues </w:t>
      </w:r>
      <w:r w:rsidR="005C1F61">
        <w:rPr>
          <w:rFonts w:asciiTheme="minorHAnsi" w:hAnsiTheme="minorHAnsi"/>
        </w:rPr>
        <w:t xml:space="preserve">from AURA 2017 </w:t>
      </w:r>
      <w:r>
        <w:rPr>
          <w:rFonts w:asciiTheme="minorHAnsi" w:hAnsiTheme="minorHAnsi"/>
        </w:rPr>
        <w:t>include:</w:t>
      </w:r>
    </w:p>
    <w:p w:rsidR="00731C95" w:rsidRDefault="00731C95" w:rsidP="0008579C">
      <w:pPr>
        <w:pStyle w:val="ListParagraph"/>
        <w:numPr>
          <w:ilvl w:val="0"/>
          <w:numId w:val="7"/>
        </w:numPr>
        <w:rPr>
          <w:rFonts w:asciiTheme="minorHAnsi" w:hAnsiTheme="minorHAnsi"/>
        </w:rPr>
      </w:pPr>
      <w:r>
        <w:rPr>
          <w:rFonts w:asciiTheme="minorHAnsi" w:hAnsiTheme="minorHAnsi"/>
        </w:rPr>
        <w:t>v</w:t>
      </w:r>
      <w:r w:rsidRPr="002E2FB3">
        <w:rPr>
          <w:rFonts w:asciiTheme="minorHAnsi" w:hAnsiTheme="minorHAnsi"/>
        </w:rPr>
        <w:t>ancomycin-resistant enterococci (VRE) have emerged as a major healthcare problem in Australia</w:t>
      </w:r>
      <w:r w:rsidR="002B5A59">
        <w:rPr>
          <w:rFonts w:asciiTheme="minorHAnsi" w:hAnsiTheme="minorHAnsi"/>
        </w:rPr>
        <w:t>;</w:t>
      </w:r>
    </w:p>
    <w:p w:rsidR="002B5A59" w:rsidRDefault="002B5A59" w:rsidP="002B5A59">
      <w:pPr>
        <w:pStyle w:val="ListParagraph"/>
        <w:numPr>
          <w:ilvl w:val="0"/>
          <w:numId w:val="7"/>
        </w:numPr>
        <w:rPr>
          <w:rFonts w:asciiTheme="minorHAnsi" w:hAnsiTheme="minorHAnsi"/>
        </w:rPr>
      </w:pPr>
      <w:r>
        <w:rPr>
          <w:rFonts w:asciiTheme="minorHAnsi" w:hAnsiTheme="minorHAnsi"/>
        </w:rPr>
        <w:t>t</w:t>
      </w:r>
      <w:r w:rsidRPr="00584FB9">
        <w:rPr>
          <w:rFonts w:asciiTheme="minorHAnsi" w:hAnsiTheme="minorHAnsi"/>
        </w:rPr>
        <w:t xml:space="preserve">he proportion of vancomycin-resistant </w:t>
      </w:r>
      <w:r w:rsidRPr="00584FB9">
        <w:rPr>
          <w:rFonts w:asciiTheme="minorHAnsi" w:hAnsiTheme="minorHAnsi"/>
          <w:i/>
        </w:rPr>
        <w:t>Enterococcus faecium</w:t>
      </w:r>
      <w:r w:rsidRPr="00584FB9">
        <w:rPr>
          <w:rFonts w:asciiTheme="minorHAnsi" w:hAnsiTheme="minorHAnsi"/>
        </w:rPr>
        <w:t xml:space="preserve"> isolates in Australia </w:t>
      </w:r>
      <w:r w:rsidR="00864B58">
        <w:rPr>
          <w:rFonts w:asciiTheme="minorHAnsi" w:hAnsiTheme="minorHAnsi"/>
        </w:rPr>
        <w:t xml:space="preserve">has </w:t>
      </w:r>
      <w:r w:rsidRPr="00584FB9">
        <w:rPr>
          <w:rFonts w:asciiTheme="minorHAnsi" w:hAnsiTheme="minorHAnsi"/>
        </w:rPr>
        <w:t>increased rapidly from 2005 and is now higher th</w:t>
      </w:r>
      <w:r>
        <w:rPr>
          <w:rFonts w:asciiTheme="minorHAnsi" w:hAnsiTheme="minorHAnsi"/>
        </w:rPr>
        <w:t xml:space="preserve">an that </w:t>
      </w:r>
      <w:r w:rsidR="00864B58">
        <w:rPr>
          <w:rFonts w:asciiTheme="minorHAnsi" w:hAnsiTheme="minorHAnsi"/>
        </w:rPr>
        <w:t>of</w:t>
      </w:r>
      <w:r>
        <w:rPr>
          <w:rFonts w:asciiTheme="minorHAnsi" w:hAnsiTheme="minorHAnsi"/>
        </w:rPr>
        <w:t xml:space="preserve"> any European country;</w:t>
      </w:r>
    </w:p>
    <w:p w:rsidR="00731C95" w:rsidRPr="00F229F4" w:rsidRDefault="00864B58" w:rsidP="002B5A59">
      <w:pPr>
        <w:pStyle w:val="ListParagraph"/>
        <w:numPr>
          <w:ilvl w:val="0"/>
          <w:numId w:val="7"/>
        </w:numPr>
        <w:rPr>
          <w:rFonts w:asciiTheme="minorHAnsi" w:hAnsiTheme="minorHAnsi"/>
        </w:rPr>
      </w:pPr>
      <w:r>
        <w:rPr>
          <w:rFonts w:asciiTheme="minorHAnsi" w:hAnsiTheme="minorHAnsi"/>
        </w:rPr>
        <w:t>c</w:t>
      </w:r>
      <w:r w:rsidR="002B5A59">
        <w:rPr>
          <w:rFonts w:asciiTheme="minorHAnsi" w:hAnsiTheme="minorHAnsi"/>
        </w:rPr>
        <w:t>ommunity</w:t>
      </w:r>
      <w:r>
        <w:rPr>
          <w:rFonts w:asciiTheme="minorHAnsi" w:hAnsiTheme="minorHAnsi"/>
        </w:rPr>
        <w:t>-</w:t>
      </w:r>
      <w:r w:rsidR="002B5A59">
        <w:rPr>
          <w:rFonts w:asciiTheme="minorHAnsi" w:hAnsiTheme="minorHAnsi"/>
        </w:rPr>
        <w:t xml:space="preserve">acquired </w:t>
      </w:r>
      <w:r>
        <w:rPr>
          <w:rFonts w:asciiTheme="minorHAnsi" w:hAnsiTheme="minorHAnsi"/>
        </w:rPr>
        <w:t xml:space="preserve">methicillin-resistant </w:t>
      </w:r>
      <w:r w:rsidR="0081710A" w:rsidRPr="0081710A">
        <w:rPr>
          <w:rFonts w:asciiTheme="minorHAnsi" w:hAnsiTheme="minorHAnsi"/>
          <w:i/>
        </w:rPr>
        <w:t>Staphylococcus aureus</w:t>
      </w:r>
      <w:r w:rsidR="002D02D6">
        <w:rPr>
          <w:rFonts w:asciiTheme="minorHAnsi" w:hAnsiTheme="minorHAnsi"/>
        </w:rPr>
        <w:t xml:space="preserve"> (CA-MRSA)</w:t>
      </w:r>
      <w:r w:rsidR="002B5A59" w:rsidRPr="00F229F4">
        <w:rPr>
          <w:rFonts w:asciiTheme="minorHAnsi" w:hAnsiTheme="minorHAnsi"/>
        </w:rPr>
        <w:t xml:space="preserve"> is</w:t>
      </w:r>
      <w:r w:rsidR="002B5A59">
        <w:rPr>
          <w:rFonts w:asciiTheme="minorHAnsi" w:hAnsiTheme="minorHAnsi"/>
        </w:rPr>
        <w:t xml:space="preserve"> </w:t>
      </w:r>
      <w:r w:rsidR="002B5A59" w:rsidRPr="00F229F4">
        <w:rPr>
          <w:rFonts w:asciiTheme="minorHAnsi" w:hAnsiTheme="minorHAnsi"/>
        </w:rPr>
        <w:t xml:space="preserve">now a more common cause of bloodstream infection </w:t>
      </w:r>
      <w:r w:rsidR="002B5A59">
        <w:rPr>
          <w:rFonts w:asciiTheme="minorHAnsi" w:hAnsiTheme="minorHAnsi"/>
        </w:rPr>
        <w:t>than healthcare-associated MRSA</w:t>
      </w:r>
      <w:r w:rsidR="0011526E">
        <w:rPr>
          <w:rFonts w:asciiTheme="minorHAnsi" w:hAnsiTheme="minorHAnsi"/>
        </w:rPr>
        <w:t>,</w:t>
      </w:r>
      <w:r w:rsidR="005F163D" w:rsidRPr="005F163D">
        <w:rPr>
          <w:rFonts w:asciiTheme="minorHAnsi" w:hAnsiTheme="minorHAnsi"/>
        </w:rPr>
        <w:t xml:space="preserve"> </w:t>
      </w:r>
      <w:r w:rsidR="005F163D">
        <w:rPr>
          <w:rFonts w:asciiTheme="minorHAnsi" w:hAnsiTheme="minorHAnsi"/>
        </w:rPr>
        <w:t>with the latter on the decline</w:t>
      </w:r>
      <w:r w:rsidR="002B5A59">
        <w:rPr>
          <w:rFonts w:asciiTheme="minorHAnsi" w:hAnsiTheme="minorHAnsi"/>
        </w:rPr>
        <w:t>;</w:t>
      </w:r>
    </w:p>
    <w:p w:rsidR="002B5A59" w:rsidRPr="00F229F4" w:rsidRDefault="002B5A59" w:rsidP="002B5A59">
      <w:pPr>
        <w:pStyle w:val="ListParagraph"/>
        <w:numPr>
          <w:ilvl w:val="0"/>
          <w:numId w:val="7"/>
        </w:numPr>
        <w:rPr>
          <w:rFonts w:asciiTheme="minorHAnsi" w:hAnsiTheme="minorHAnsi"/>
        </w:rPr>
      </w:pPr>
      <w:r w:rsidRPr="00F229F4">
        <w:rPr>
          <w:rFonts w:asciiTheme="minorHAnsi" w:hAnsiTheme="minorHAnsi"/>
        </w:rPr>
        <w:t>infections caused by strains of MRSA</w:t>
      </w:r>
      <w:r>
        <w:rPr>
          <w:rFonts w:asciiTheme="minorHAnsi" w:hAnsiTheme="minorHAnsi"/>
        </w:rPr>
        <w:t xml:space="preserve"> that start in the community</w:t>
      </w:r>
      <w:r w:rsidRPr="00F229F4">
        <w:rPr>
          <w:rFonts w:asciiTheme="minorHAnsi" w:hAnsiTheme="minorHAnsi"/>
        </w:rPr>
        <w:t xml:space="preserve"> are likely to fail treatment </w:t>
      </w:r>
      <w:r>
        <w:rPr>
          <w:rFonts w:asciiTheme="minorHAnsi" w:hAnsiTheme="minorHAnsi"/>
        </w:rPr>
        <w:t>with the usual antibiotics</w:t>
      </w:r>
      <w:r w:rsidRPr="00F229F4">
        <w:rPr>
          <w:rFonts w:asciiTheme="minorHAnsi" w:hAnsiTheme="minorHAnsi"/>
        </w:rPr>
        <w:t xml:space="preserve"> used by community practitioners, resulting in hospitalisation for treatment with antimicrobials</w:t>
      </w:r>
      <w:r>
        <w:rPr>
          <w:rFonts w:asciiTheme="minorHAnsi" w:hAnsiTheme="minorHAnsi"/>
        </w:rPr>
        <w:t xml:space="preserve"> given directly into the blood</w:t>
      </w:r>
      <w:r w:rsidRPr="00F229F4">
        <w:rPr>
          <w:rFonts w:asciiTheme="minorHAnsi" w:hAnsiTheme="minorHAnsi"/>
        </w:rPr>
        <w:t>. Th</w:t>
      </w:r>
      <w:r>
        <w:rPr>
          <w:rFonts w:asciiTheme="minorHAnsi" w:hAnsiTheme="minorHAnsi"/>
        </w:rPr>
        <w:t xml:space="preserve">e treatment of MRSA </w:t>
      </w:r>
      <w:r w:rsidRPr="00F229F4">
        <w:rPr>
          <w:rFonts w:asciiTheme="minorHAnsi" w:hAnsiTheme="minorHAnsi"/>
        </w:rPr>
        <w:t xml:space="preserve">with vancomycin and related agents </w:t>
      </w:r>
      <w:r>
        <w:rPr>
          <w:rFonts w:asciiTheme="minorHAnsi" w:hAnsiTheme="minorHAnsi"/>
        </w:rPr>
        <w:t xml:space="preserve">has the potential to </w:t>
      </w:r>
      <w:r w:rsidRPr="00F229F4">
        <w:rPr>
          <w:rFonts w:asciiTheme="minorHAnsi" w:hAnsiTheme="minorHAnsi"/>
        </w:rPr>
        <w:t>increas</w:t>
      </w:r>
      <w:r>
        <w:rPr>
          <w:rFonts w:asciiTheme="minorHAnsi" w:hAnsiTheme="minorHAnsi"/>
        </w:rPr>
        <w:t>e</w:t>
      </w:r>
      <w:r w:rsidRPr="00F229F4">
        <w:rPr>
          <w:rFonts w:asciiTheme="minorHAnsi" w:hAnsiTheme="minorHAnsi"/>
        </w:rPr>
        <w:t xml:space="preserve"> other multidrug-</w:t>
      </w:r>
      <w:r>
        <w:rPr>
          <w:rFonts w:asciiTheme="minorHAnsi" w:hAnsiTheme="minorHAnsi"/>
        </w:rPr>
        <w:t>resistant pathogens such as VRE;</w:t>
      </w:r>
    </w:p>
    <w:p w:rsidR="00731C95" w:rsidRPr="00F229F4" w:rsidRDefault="00731C95" w:rsidP="0008579C">
      <w:pPr>
        <w:pStyle w:val="ListParagraph"/>
        <w:numPr>
          <w:ilvl w:val="0"/>
          <w:numId w:val="7"/>
        </w:numPr>
        <w:rPr>
          <w:rFonts w:asciiTheme="minorHAnsi" w:hAnsiTheme="minorHAnsi"/>
        </w:rPr>
      </w:pPr>
      <w:r>
        <w:rPr>
          <w:rFonts w:asciiTheme="minorHAnsi" w:hAnsiTheme="minorHAnsi"/>
        </w:rPr>
        <w:t>a</w:t>
      </w:r>
      <w:r w:rsidRPr="00F229F4">
        <w:rPr>
          <w:rFonts w:asciiTheme="minorHAnsi" w:hAnsiTheme="minorHAnsi"/>
        </w:rPr>
        <w:t xml:space="preserve"> challenge for health care is that</w:t>
      </w:r>
      <w:r w:rsidR="0081710A">
        <w:rPr>
          <w:rFonts w:asciiTheme="minorHAnsi" w:hAnsiTheme="minorHAnsi"/>
        </w:rPr>
        <w:t xml:space="preserve"> </w:t>
      </w:r>
      <w:r w:rsidRPr="00F229F4">
        <w:rPr>
          <w:rFonts w:asciiTheme="minorHAnsi" w:hAnsiTheme="minorHAnsi"/>
        </w:rPr>
        <w:t>no country has</w:t>
      </w:r>
      <w:r w:rsidR="0081710A">
        <w:rPr>
          <w:rFonts w:asciiTheme="minorHAnsi" w:hAnsiTheme="minorHAnsi"/>
        </w:rPr>
        <w:t>, so far,</w:t>
      </w:r>
      <w:r w:rsidRPr="00F229F4">
        <w:rPr>
          <w:rFonts w:asciiTheme="minorHAnsi" w:hAnsiTheme="minorHAnsi"/>
        </w:rPr>
        <w:t xml:space="preserve"> found effective interventions to control the spread of CA-MRSA</w:t>
      </w:r>
      <w:r w:rsidR="0081710A">
        <w:rPr>
          <w:rFonts w:asciiTheme="minorHAnsi" w:hAnsiTheme="minorHAnsi"/>
        </w:rPr>
        <w:t>.</w:t>
      </w:r>
      <w:r w:rsidRPr="00F229F4">
        <w:rPr>
          <w:rFonts w:asciiTheme="minorHAnsi" w:hAnsiTheme="minorHAnsi"/>
        </w:rPr>
        <w:t xml:space="preserve"> </w:t>
      </w:r>
      <w:r w:rsidR="0081710A">
        <w:rPr>
          <w:rFonts w:asciiTheme="minorHAnsi" w:hAnsiTheme="minorHAnsi"/>
        </w:rPr>
        <w:t>E</w:t>
      </w:r>
      <w:r w:rsidRPr="00F229F4">
        <w:rPr>
          <w:rFonts w:asciiTheme="minorHAnsi" w:hAnsiTheme="minorHAnsi"/>
        </w:rPr>
        <w:t>ffort in this area is a priority</w:t>
      </w:r>
      <w:r>
        <w:rPr>
          <w:rFonts w:asciiTheme="minorHAnsi" w:hAnsiTheme="minorHAnsi"/>
        </w:rPr>
        <w:t>;</w:t>
      </w:r>
    </w:p>
    <w:p w:rsidR="005F163D" w:rsidRPr="005F163D" w:rsidRDefault="005F163D" w:rsidP="005F163D">
      <w:pPr>
        <w:pStyle w:val="ListParagraph"/>
        <w:numPr>
          <w:ilvl w:val="0"/>
          <w:numId w:val="7"/>
        </w:numPr>
        <w:rPr>
          <w:rFonts w:asciiTheme="minorHAnsi" w:hAnsiTheme="minorHAnsi"/>
        </w:rPr>
      </w:pPr>
      <w:r w:rsidRPr="0081710A">
        <w:rPr>
          <w:rFonts w:asciiTheme="minorHAnsi" w:hAnsiTheme="minorHAnsi"/>
          <w:i/>
        </w:rPr>
        <w:t>E</w:t>
      </w:r>
      <w:r w:rsidR="0081710A" w:rsidRPr="0081710A">
        <w:rPr>
          <w:rFonts w:asciiTheme="minorHAnsi" w:hAnsiTheme="minorHAnsi"/>
          <w:i/>
        </w:rPr>
        <w:t>scherichia coli</w:t>
      </w:r>
      <w:r w:rsidR="00105313">
        <w:rPr>
          <w:rFonts w:asciiTheme="minorHAnsi" w:hAnsiTheme="minorHAnsi"/>
        </w:rPr>
        <w:t xml:space="preserve"> resistance to </w:t>
      </w:r>
      <w:r w:rsidR="00105313" w:rsidRPr="000D6E73">
        <w:rPr>
          <w:rFonts w:asciiTheme="minorHAnsi" w:hAnsiTheme="minorHAnsi"/>
        </w:rPr>
        <w:t>fluoroquinolone</w:t>
      </w:r>
      <w:r w:rsidR="0081710A">
        <w:rPr>
          <w:rFonts w:asciiTheme="minorHAnsi" w:hAnsiTheme="minorHAnsi"/>
        </w:rPr>
        <w:t>s</w:t>
      </w:r>
      <w:r>
        <w:rPr>
          <w:rFonts w:asciiTheme="minorHAnsi" w:hAnsiTheme="minorHAnsi"/>
        </w:rPr>
        <w:t xml:space="preserve"> is steadily rising, albeit from a low base, and despite restricted access </w:t>
      </w:r>
      <w:r w:rsidR="0081710A">
        <w:rPr>
          <w:rFonts w:asciiTheme="minorHAnsi" w:hAnsiTheme="minorHAnsi"/>
        </w:rPr>
        <w:t xml:space="preserve">to fluoroquinolones </w:t>
      </w:r>
      <w:r>
        <w:rPr>
          <w:rFonts w:asciiTheme="minorHAnsi" w:hAnsiTheme="minorHAnsi"/>
        </w:rPr>
        <w:t>in the community and hospitals;</w:t>
      </w:r>
    </w:p>
    <w:p w:rsidR="002B5A59" w:rsidRDefault="002B5A59" w:rsidP="002B5A59">
      <w:pPr>
        <w:pStyle w:val="ListParagraph"/>
        <w:numPr>
          <w:ilvl w:val="0"/>
          <w:numId w:val="7"/>
        </w:numPr>
        <w:rPr>
          <w:rFonts w:asciiTheme="minorHAnsi" w:hAnsiTheme="minorHAnsi"/>
        </w:rPr>
      </w:pPr>
      <w:r w:rsidRPr="00FF64DC">
        <w:rPr>
          <w:rFonts w:asciiTheme="minorHAnsi" w:hAnsiTheme="minorHAnsi"/>
        </w:rPr>
        <w:t xml:space="preserve">resistance to ceftriaxone in </w:t>
      </w:r>
      <w:r w:rsidRPr="00FF64DC">
        <w:rPr>
          <w:rFonts w:asciiTheme="minorHAnsi" w:hAnsiTheme="minorHAnsi"/>
          <w:i/>
        </w:rPr>
        <w:t>Neisseria gonorrhoeae</w:t>
      </w:r>
      <w:r w:rsidR="005F2E27">
        <w:rPr>
          <w:rFonts w:asciiTheme="minorHAnsi" w:hAnsiTheme="minorHAnsi"/>
        </w:rPr>
        <w:t xml:space="preserve"> </w:t>
      </w:r>
      <w:r>
        <w:rPr>
          <w:rFonts w:asciiTheme="minorHAnsi" w:hAnsiTheme="minorHAnsi"/>
        </w:rPr>
        <w:t xml:space="preserve">(which causes </w:t>
      </w:r>
      <w:r w:rsidR="0081710A">
        <w:rPr>
          <w:rFonts w:asciiTheme="minorHAnsi" w:hAnsiTheme="minorHAnsi"/>
        </w:rPr>
        <w:t>g</w:t>
      </w:r>
      <w:r>
        <w:rPr>
          <w:rFonts w:asciiTheme="minorHAnsi" w:hAnsiTheme="minorHAnsi"/>
        </w:rPr>
        <w:t xml:space="preserve">onorrhoea) </w:t>
      </w:r>
      <w:r w:rsidRPr="00FF64DC">
        <w:rPr>
          <w:rFonts w:asciiTheme="minorHAnsi" w:hAnsiTheme="minorHAnsi"/>
        </w:rPr>
        <w:t xml:space="preserve">is an emerging concern globally. In Australia, failure of ceftriaxone treatment has been seen, but is still </w:t>
      </w:r>
      <w:r w:rsidR="0081710A">
        <w:rPr>
          <w:rFonts w:asciiTheme="minorHAnsi" w:hAnsiTheme="minorHAnsi"/>
        </w:rPr>
        <w:t xml:space="preserve">relatively </w:t>
      </w:r>
      <w:r w:rsidRPr="00FF64DC">
        <w:rPr>
          <w:rFonts w:asciiTheme="minorHAnsi" w:hAnsiTheme="minorHAnsi"/>
        </w:rPr>
        <w:t>uncommon</w:t>
      </w:r>
      <w:r>
        <w:rPr>
          <w:rFonts w:asciiTheme="minorHAnsi" w:hAnsiTheme="minorHAnsi"/>
        </w:rPr>
        <w:t>; and</w:t>
      </w:r>
    </w:p>
    <w:p w:rsidR="002B5A59" w:rsidRPr="0068786B" w:rsidRDefault="0081710A" w:rsidP="005A4FFE">
      <w:pPr>
        <w:pStyle w:val="ListParagraph"/>
        <w:numPr>
          <w:ilvl w:val="0"/>
          <w:numId w:val="7"/>
        </w:numPr>
        <w:spacing w:after="120"/>
        <w:rPr>
          <w:rFonts w:asciiTheme="minorHAnsi" w:hAnsiTheme="minorHAnsi"/>
          <w:u w:val="single"/>
        </w:rPr>
      </w:pPr>
      <w:r>
        <w:rPr>
          <w:rFonts w:asciiTheme="minorHAnsi" w:hAnsiTheme="minorHAnsi"/>
        </w:rPr>
        <w:t>c</w:t>
      </w:r>
      <w:r w:rsidR="002B5A59" w:rsidRPr="0068786B">
        <w:rPr>
          <w:rFonts w:asciiTheme="minorHAnsi" w:hAnsiTheme="minorHAnsi"/>
        </w:rPr>
        <w:t>arbapenemase-</w:t>
      </w:r>
      <w:r w:rsidR="0011526E">
        <w:rPr>
          <w:rFonts w:asciiTheme="minorHAnsi" w:hAnsiTheme="minorHAnsi"/>
        </w:rPr>
        <w:t>producing Enterobacteriaceae were</w:t>
      </w:r>
      <w:r w:rsidR="002B5A59" w:rsidRPr="0068786B">
        <w:rPr>
          <w:rFonts w:asciiTheme="minorHAnsi" w:hAnsiTheme="minorHAnsi"/>
        </w:rPr>
        <w:t xml:space="preserve"> the most frequently recorded </w:t>
      </w:r>
      <w:r>
        <w:rPr>
          <w:rFonts w:asciiTheme="minorHAnsi" w:hAnsiTheme="minorHAnsi"/>
        </w:rPr>
        <w:t xml:space="preserve">(48 %) </w:t>
      </w:r>
      <w:r w:rsidR="002B5A59" w:rsidRPr="0068786B">
        <w:rPr>
          <w:rFonts w:asciiTheme="minorHAnsi" w:hAnsiTheme="minorHAnsi"/>
        </w:rPr>
        <w:t>critical antimicrobial resistance in</w:t>
      </w:r>
      <w:r>
        <w:rPr>
          <w:rFonts w:asciiTheme="minorHAnsi" w:hAnsiTheme="minorHAnsi"/>
        </w:rPr>
        <w:t xml:space="preserve"> 2015</w:t>
      </w:r>
      <w:r w:rsidR="002D02D6">
        <w:rPr>
          <w:rFonts w:asciiTheme="minorHAnsi" w:hAnsiTheme="minorHAnsi"/>
        </w:rPr>
        <w:t>.</w:t>
      </w:r>
    </w:p>
    <w:p w:rsidR="001866D7" w:rsidRDefault="00AF74A1" w:rsidP="0068786B">
      <w:pPr>
        <w:spacing w:before="120" w:after="120"/>
        <w:rPr>
          <w:rFonts w:asciiTheme="minorHAnsi" w:hAnsiTheme="minorHAnsi"/>
        </w:rPr>
      </w:pPr>
      <w:r w:rsidRPr="000D3CEB">
        <w:rPr>
          <w:rFonts w:asciiTheme="minorHAnsi" w:hAnsiTheme="minorHAnsi"/>
        </w:rPr>
        <w:t xml:space="preserve">A proof-of-concept model for AMR surveillance in food animals has been developed through </w:t>
      </w:r>
      <w:r w:rsidR="0081710A">
        <w:rPr>
          <w:rFonts w:asciiTheme="minorHAnsi" w:hAnsiTheme="minorHAnsi"/>
        </w:rPr>
        <w:t xml:space="preserve">an </w:t>
      </w:r>
      <w:r w:rsidRPr="000D3CEB">
        <w:rPr>
          <w:rFonts w:asciiTheme="minorHAnsi" w:hAnsiTheme="minorHAnsi"/>
        </w:rPr>
        <w:t xml:space="preserve">expert task group. This work initially commenced with </w:t>
      </w:r>
      <w:r w:rsidR="00026D67">
        <w:rPr>
          <w:rFonts w:asciiTheme="minorHAnsi" w:hAnsiTheme="minorHAnsi"/>
        </w:rPr>
        <w:t xml:space="preserve">the </w:t>
      </w:r>
      <w:r w:rsidRPr="000D3CEB">
        <w:rPr>
          <w:rFonts w:asciiTheme="minorHAnsi" w:hAnsiTheme="minorHAnsi"/>
        </w:rPr>
        <w:t xml:space="preserve">pig industry and a second </w:t>
      </w:r>
      <w:r w:rsidR="00026D67">
        <w:rPr>
          <w:rFonts w:asciiTheme="minorHAnsi" w:hAnsiTheme="minorHAnsi"/>
        </w:rPr>
        <w:t>project</w:t>
      </w:r>
      <w:r w:rsidRPr="000D3CEB">
        <w:rPr>
          <w:rFonts w:asciiTheme="minorHAnsi" w:hAnsiTheme="minorHAnsi"/>
        </w:rPr>
        <w:t xml:space="preserve"> is progressing </w:t>
      </w:r>
      <w:r w:rsidR="001866D7">
        <w:rPr>
          <w:rFonts w:asciiTheme="minorHAnsi" w:hAnsiTheme="minorHAnsi"/>
        </w:rPr>
        <w:t>with the chicken meat industry.</w:t>
      </w:r>
    </w:p>
    <w:p w:rsidR="008264EC" w:rsidRDefault="00AF74A1" w:rsidP="0068786B">
      <w:pPr>
        <w:spacing w:before="120" w:after="120"/>
        <w:rPr>
          <w:rFonts w:asciiTheme="minorHAnsi" w:hAnsiTheme="minorHAnsi"/>
        </w:rPr>
      </w:pPr>
      <w:r w:rsidRPr="000D3CEB">
        <w:rPr>
          <w:rFonts w:asciiTheme="minorHAnsi" w:hAnsiTheme="minorHAnsi"/>
        </w:rPr>
        <w:t xml:space="preserve">A workshop to raise awareness of AMR and to determine specifications for a pilot surveillance project in the Tasmanian salmon industry occurred in October 2016. In April 2017, a further project </w:t>
      </w:r>
      <w:r w:rsidR="001E08BF">
        <w:rPr>
          <w:rFonts w:asciiTheme="minorHAnsi" w:hAnsiTheme="minorHAnsi"/>
        </w:rPr>
        <w:t>was</w:t>
      </w:r>
      <w:r w:rsidRPr="000D3CEB">
        <w:rPr>
          <w:rFonts w:asciiTheme="minorHAnsi" w:hAnsiTheme="minorHAnsi"/>
        </w:rPr>
        <w:t xml:space="preserve"> undertake</w:t>
      </w:r>
      <w:r w:rsidR="00026D67">
        <w:rPr>
          <w:rFonts w:asciiTheme="minorHAnsi" w:hAnsiTheme="minorHAnsi"/>
        </w:rPr>
        <w:t>n to determine</w:t>
      </w:r>
      <w:r w:rsidRPr="000D3CEB">
        <w:rPr>
          <w:rFonts w:asciiTheme="minorHAnsi" w:hAnsiTheme="minorHAnsi"/>
        </w:rPr>
        <w:t xml:space="preserve"> AMR surveillance in </w:t>
      </w:r>
      <w:r w:rsidRPr="00E82EDE">
        <w:rPr>
          <w:rFonts w:asciiTheme="minorHAnsi" w:hAnsiTheme="minorHAnsi"/>
          <w:i/>
        </w:rPr>
        <w:t>Salmonella</w:t>
      </w:r>
      <w:r w:rsidRPr="000D3CEB">
        <w:rPr>
          <w:rFonts w:asciiTheme="minorHAnsi" w:hAnsiTheme="minorHAnsi"/>
        </w:rPr>
        <w:t xml:space="preserve"> isolates taken from Australian chicken eggs. Further discussions with other intensive animal industries to consider and/or undertake surveillance activities are anticipated. Results from these current projects will start to be available in the near future and expand knowledge on baseline data.</w:t>
      </w:r>
    </w:p>
    <w:p w:rsidR="00853C4E" w:rsidRPr="00902E66" w:rsidRDefault="005C3C10" w:rsidP="00902E66">
      <w:pPr>
        <w:pStyle w:val="Heading2"/>
      </w:pPr>
      <w:bookmarkStart w:id="4" w:name="_Toc498070413"/>
      <w:r w:rsidRPr="00902E66">
        <w:lastRenderedPageBreak/>
        <w:t>A</w:t>
      </w:r>
      <w:r w:rsidR="00853C4E" w:rsidRPr="00902E66">
        <w:t>ntibiotic use</w:t>
      </w:r>
      <w:bookmarkEnd w:id="4"/>
    </w:p>
    <w:p w:rsidR="00853C4E" w:rsidRDefault="00853C4E" w:rsidP="00691A93">
      <w:pPr>
        <w:spacing w:after="120"/>
        <w:rPr>
          <w:rFonts w:asciiTheme="minorHAnsi" w:hAnsiTheme="minorHAnsi"/>
        </w:rPr>
      </w:pPr>
      <w:r>
        <w:rPr>
          <w:rFonts w:asciiTheme="minorHAnsi" w:hAnsiTheme="minorHAnsi"/>
        </w:rPr>
        <w:t xml:space="preserve">A high rate of antibiotic use is acknowledged as a key driver of increasing rates of </w:t>
      </w:r>
      <w:r w:rsidR="00EF50C2">
        <w:rPr>
          <w:rFonts w:asciiTheme="minorHAnsi" w:hAnsiTheme="minorHAnsi"/>
        </w:rPr>
        <w:t>antibiotic resistance</w:t>
      </w:r>
      <w:r>
        <w:rPr>
          <w:rFonts w:asciiTheme="minorHAnsi" w:hAnsiTheme="minorHAnsi"/>
        </w:rPr>
        <w:t>.</w:t>
      </w:r>
      <w:r w:rsidR="00311742">
        <w:rPr>
          <w:rFonts w:asciiTheme="minorHAnsi" w:hAnsiTheme="minorHAnsi"/>
        </w:rPr>
        <w:t xml:space="preserve"> </w:t>
      </w:r>
      <w:r>
        <w:rPr>
          <w:rFonts w:asciiTheme="minorHAnsi" w:hAnsiTheme="minorHAnsi"/>
        </w:rPr>
        <w:t>The use of anti</w:t>
      </w:r>
      <w:r w:rsidR="00EF50C2">
        <w:rPr>
          <w:rFonts w:asciiTheme="minorHAnsi" w:hAnsiTheme="minorHAnsi"/>
        </w:rPr>
        <w:t>biotic</w:t>
      </w:r>
      <w:r>
        <w:rPr>
          <w:rFonts w:asciiTheme="minorHAnsi" w:hAnsiTheme="minorHAnsi"/>
        </w:rPr>
        <w:t xml:space="preserve">s can be life-saving, but </w:t>
      </w:r>
      <w:r w:rsidR="00EA51EB">
        <w:rPr>
          <w:rFonts w:asciiTheme="minorHAnsi" w:hAnsiTheme="minorHAnsi"/>
        </w:rPr>
        <w:t xml:space="preserve">unnecessary </w:t>
      </w:r>
      <w:r>
        <w:rPr>
          <w:rFonts w:asciiTheme="minorHAnsi" w:hAnsiTheme="minorHAnsi"/>
        </w:rPr>
        <w:t xml:space="preserve">use </w:t>
      </w:r>
      <w:r w:rsidR="00EA51EB">
        <w:rPr>
          <w:rFonts w:asciiTheme="minorHAnsi" w:hAnsiTheme="minorHAnsi"/>
        </w:rPr>
        <w:t>has side-effects for the individual patient and implications for the community. Minimising inappropriate use support</w:t>
      </w:r>
      <w:r w:rsidR="00311742">
        <w:rPr>
          <w:rFonts w:asciiTheme="minorHAnsi" w:hAnsiTheme="minorHAnsi"/>
        </w:rPr>
        <w:t>s</w:t>
      </w:r>
      <w:r w:rsidR="00EA51EB">
        <w:rPr>
          <w:rFonts w:asciiTheme="minorHAnsi" w:hAnsiTheme="minorHAnsi"/>
        </w:rPr>
        <w:t xml:space="preserve"> patient safe</w:t>
      </w:r>
      <w:r w:rsidR="00311742">
        <w:rPr>
          <w:rFonts w:asciiTheme="minorHAnsi" w:hAnsiTheme="minorHAnsi"/>
        </w:rPr>
        <w:t>ty and health outcomes, and</w:t>
      </w:r>
      <w:r w:rsidR="00EA51EB">
        <w:rPr>
          <w:rFonts w:asciiTheme="minorHAnsi" w:hAnsiTheme="minorHAnsi"/>
        </w:rPr>
        <w:t xml:space="preserve"> </w:t>
      </w:r>
      <w:r w:rsidR="000A3332">
        <w:rPr>
          <w:rFonts w:asciiTheme="minorHAnsi" w:hAnsiTheme="minorHAnsi"/>
        </w:rPr>
        <w:t>reduce</w:t>
      </w:r>
      <w:r w:rsidR="00311742">
        <w:rPr>
          <w:rFonts w:asciiTheme="minorHAnsi" w:hAnsiTheme="minorHAnsi"/>
        </w:rPr>
        <w:t>s</w:t>
      </w:r>
      <w:r w:rsidR="000A3332">
        <w:rPr>
          <w:rFonts w:asciiTheme="minorHAnsi" w:hAnsiTheme="minorHAnsi"/>
        </w:rPr>
        <w:t xml:space="preserve"> the </w:t>
      </w:r>
      <w:r w:rsidR="00EF50C2">
        <w:rPr>
          <w:rFonts w:asciiTheme="minorHAnsi" w:hAnsiTheme="minorHAnsi"/>
        </w:rPr>
        <w:t xml:space="preserve">emergence </w:t>
      </w:r>
      <w:r w:rsidR="000A3332">
        <w:rPr>
          <w:rFonts w:asciiTheme="minorHAnsi" w:hAnsiTheme="minorHAnsi"/>
        </w:rPr>
        <w:t>of resistance</w:t>
      </w:r>
      <w:r w:rsidR="005F2E27">
        <w:rPr>
          <w:rFonts w:asciiTheme="minorHAnsi" w:hAnsiTheme="minorHAnsi"/>
        </w:rPr>
        <w:t xml:space="preserve">. </w:t>
      </w:r>
      <w:r>
        <w:rPr>
          <w:rFonts w:asciiTheme="minorHAnsi" w:hAnsiTheme="minorHAnsi"/>
        </w:rPr>
        <w:t>Examples of inappropriate use include prescribing anti</w:t>
      </w:r>
      <w:r w:rsidR="00EF50C2">
        <w:rPr>
          <w:rFonts w:asciiTheme="minorHAnsi" w:hAnsiTheme="minorHAnsi"/>
        </w:rPr>
        <w:t>biotics</w:t>
      </w:r>
      <w:r>
        <w:rPr>
          <w:rFonts w:asciiTheme="minorHAnsi" w:hAnsiTheme="minorHAnsi"/>
        </w:rPr>
        <w:t xml:space="preserve"> when not indicated</w:t>
      </w:r>
      <w:r w:rsidR="00FC09FD">
        <w:rPr>
          <w:rFonts w:asciiTheme="minorHAnsi" w:hAnsiTheme="minorHAnsi"/>
        </w:rPr>
        <w:t xml:space="preserve"> (e.g. </w:t>
      </w:r>
      <w:r w:rsidR="00EF50C2">
        <w:rPr>
          <w:rFonts w:asciiTheme="minorHAnsi" w:hAnsiTheme="minorHAnsi"/>
        </w:rPr>
        <w:t xml:space="preserve">for </w:t>
      </w:r>
      <w:r w:rsidR="00FC09FD">
        <w:rPr>
          <w:rFonts w:asciiTheme="minorHAnsi" w:hAnsiTheme="minorHAnsi"/>
        </w:rPr>
        <w:t>a viral infection)</w:t>
      </w:r>
      <w:r>
        <w:rPr>
          <w:rFonts w:asciiTheme="minorHAnsi" w:hAnsiTheme="minorHAnsi"/>
        </w:rPr>
        <w:t>, prescribing the wrong type of anti</w:t>
      </w:r>
      <w:r w:rsidR="00EF50C2">
        <w:rPr>
          <w:rFonts w:asciiTheme="minorHAnsi" w:hAnsiTheme="minorHAnsi"/>
        </w:rPr>
        <w:t>biotic</w:t>
      </w:r>
      <w:r w:rsidR="00311742">
        <w:rPr>
          <w:rFonts w:asciiTheme="minorHAnsi" w:hAnsiTheme="minorHAnsi"/>
        </w:rPr>
        <w:t>,</w:t>
      </w:r>
      <w:r w:rsidR="00FC09FD">
        <w:rPr>
          <w:rFonts w:asciiTheme="minorHAnsi" w:hAnsiTheme="minorHAnsi"/>
        </w:rPr>
        <w:t xml:space="preserve"> </w:t>
      </w:r>
      <w:r>
        <w:rPr>
          <w:rFonts w:asciiTheme="minorHAnsi" w:hAnsiTheme="minorHAnsi"/>
        </w:rPr>
        <w:t>and prescribing for the incorrect duration.</w:t>
      </w:r>
    </w:p>
    <w:p w:rsidR="00853C4E" w:rsidRDefault="00853C4E" w:rsidP="0068786B">
      <w:pPr>
        <w:spacing w:after="120"/>
        <w:rPr>
          <w:rFonts w:asciiTheme="minorHAnsi" w:hAnsiTheme="minorHAnsi"/>
        </w:rPr>
      </w:pPr>
      <w:r w:rsidRPr="000D6E73">
        <w:rPr>
          <w:rFonts w:asciiTheme="minorHAnsi" w:hAnsiTheme="minorHAnsi"/>
        </w:rPr>
        <w:t>AURA</w:t>
      </w:r>
      <w:r>
        <w:rPr>
          <w:rFonts w:asciiTheme="minorHAnsi" w:hAnsiTheme="minorHAnsi"/>
        </w:rPr>
        <w:t xml:space="preserve"> </w:t>
      </w:r>
      <w:r w:rsidRPr="000D6E73">
        <w:rPr>
          <w:rFonts w:asciiTheme="minorHAnsi" w:hAnsiTheme="minorHAnsi"/>
        </w:rPr>
        <w:t xml:space="preserve">2017 </w:t>
      </w:r>
      <w:r w:rsidR="00FC09FD">
        <w:rPr>
          <w:rFonts w:asciiTheme="minorHAnsi" w:hAnsiTheme="minorHAnsi"/>
        </w:rPr>
        <w:t xml:space="preserve">presented </w:t>
      </w:r>
      <w:r>
        <w:rPr>
          <w:rFonts w:asciiTheme="minorHAnsi" w:hAnsiTheme="minorHAnsi"/>
        </w:rPr>
        <w:t xml:space="preserve">the following key </w:t>
      </w:r>
      <w:r w:rsidR="00FC09FD">
        <w:rPr>
          <w:rFonts w:asciiTheme="minorHAnsi" w:hAnsiTheme="minorHAnsi"/>
        </w:rPr>
        <w:t>findings</w:t>
      </w:r>
      <w:r>
        <w:rPr>
          <w:rFonts w:asciiTheme="minorHAnsi" w:hAnsiTheme="minorHAnsi"/>
        </w:rPr>
        <w:t xml:space="preserve"> </w:t>
      </w:r>
      <w:r w:rsidRPr="000D6E73">
        <w:rPr>
          <w:rFonts w:asciiTheme="minorHAnsi" w:hAnsiTheme="minorHAnsi"/>
        </w:rPr>
        <w:t>relat</w:t>
      </w:r>
      <w:r w:rsidR="00D22674">
        <w:rPr>
          <w:rFonts w:asciiTheme="minorHAnsi" w:hAnsiTheme="minorHAnsi"/>
        </w:rPr>
        <w:t>ing</w:t>
      </w:r>
      <w:r w:rsidRPr="000D6E73">
        <w:rPr>
          <w:rFonts w:asciiTheme="minorHAnsi" w:hAnsiTheme="minorHAnsi"/>
        </w:rPr>
        <w:t xml:space="preserve"> to anti</w:t>
      </w:r>
      <w:r w:rsidR="00D22674">
        <w:rPr>
          <w:rFonts w:asciiTheme="minorHAnsi" w:hAnsiTheme="minorHAnsi"/>
        </w:rPr>
        <w:t>biotic</w:t>
      </w:r>
      <w:r>
        <w:rPr>
          <w:rFonts w:asciiTheme="minorHAnsi" w:hAnsiTheme="minorHAnsi"/>
        </w:rPr>
        <w:t xml:space="preserve"> </w:t>
      </w:r>
      <w:r w:rsidRPr="000D6E73">
        <w:rPr>
          <w:rFonts w:asciiTheme="minorHAnsi" w:hAnsiTheme="minorHAnsi"/>
        </w:rPr>
        <w:t xml:space="preserve">use and </w:t>
      </w:r>
      <w:r w:rsidR="00D22674">
        <w:rPr>
          <w:rFonts w:asciiTheme="minorHAnsi" w:hAnsiTheme="minorHAnsi"/>
        </w:rPr>
        <w:t xml:space="preserve">the </w:t>
      </w:r>
      <w:r w:rsidRPr="000D6E73">
        <w:rPr>
          <w:rFonts w:asciiTheme="minorHAnsi" w:hAnsiTheme="minorHAnsi"/>
        </w:rPr>
        <w:t>appropriateness of</w:t>
      </w:r>
      <w:r>
        <w:rPr>
          <w:rFonts w:asciiTheme="minorHAnsi" w:hAnsiTheme="minorHAnsi"/>
        </w:rPr>
        <w:t xml:space="preserve"> </w:t>
      </w:r>
      <w:r w:rsidR="00D22674">
        <w:rPr>
          <w:rFonts w:asciiTheme="minorHAnsi" w:hAnsiTheme="minorHAnsi"/>
        </w:rPr>
        <w:t xml:space="preserve">antibiotic </w:t>
      </w:r>
      <w:r w:rsidRPr="000D6E73">
        <w:rPr>
          <w:rFonts w:asciiTheme="minorHAnsi" w:hAnsiTheme="minorHAnsi"/>
        </w:rPr>
        <w:t>prescribing</w:t>
      </w:r>
      <w:r w:rsidR="00FC09FD">
        <w:rPr>
          <w:rFonts w:asciiTheme="minorHAnsi" w:hAnsiTheme="minorHAnsi"/>
        </w:rPr>
        <w:t xml:space="preserve"> in human health</w:t>
      </w:r>
      <w:r>
        <w:rPr>
          <w:rFonts w:asciiTheme="minorHAnsi" w:hAnsiTheme="minorHAnsi"/>
        </w:rPr>
        <w:t>:</w:t>
      </w:r>
    </w:p>
    <w:p w:rsidR="00FC09FD" w:rsidRDefault="00FC09FD" w:rsidP="0008579C">
      <w:pPr>
        <w:pStyle w:val="ListParagraph"/>
        <w:numPr>
          <w:ilvl w:val="0"/>
          <w:numId w:val="7"/>
        </w:numPr>
        <w:rPr>
          <w:rFonts w:asciiTheme="minorHAnsi" w:hAnsiTheme="minorHAnsi"/>
        </w:rPr>
      </w:pPr>
      <w:r>
        <w:rPr>
          <w:rFonts w:asciiTheme="minorHAnsi" w:hAnsiTheme="minorHAnsi"/>
        </w:rPr>
        <w:t>m</w:t>
      </w:r>
      <w:r w:rsidRPr="000D6E73">
        <w:rPr>
          <w:rFonts w:asciiTheme="minorHAnsi" w:hAnsiTheme="minorHAnsi"/>
        </w:rPr>
        <w:t>ore than 30 million antimicrobial prescriptions were dispensed through the Pharmaceutical Benefits Scheme (PBS) or Repatriation PBS in 2015. There has been little c</w:t>
      </w:r>
      <w:r>
        <w:rPr>
          <w:rFonts w:asciiTheme="minorHAnsi" w:hAnsiTheme="minorHAnsi"/>
        </w:rPr>
        <w:t>hange in this number since 2008;</w:t>
      </w:r>
    </w:p>
    <w:p w:rsidR="00FC09FD" w:rsidRDefault="00FC09FD" w:rsidP="0008579C">
      <w:pPr>
        <w:pStyle w:val="ListParagraph"/>
        <w:numPr>
          <w:ilvl w:val="0"/>
          <w:numId w:val="7"/>
        </w:numPr>
        <w:rPr>
          <w:rFonts w:asciiTheme="minorHAnsi" w:hAnsiTheme="minorHAnsi"/>
        </w:rPr>
      </w:pPr>
      <w:r>
        <w:rPr>
          <w:rFonts w:asciiTheme="minorHAnsi" w:hAnsiTheme="minorHAnsi"/>
        </w:rPr>
        <w:t>p</w:t>
      </w:r>
      <w:r w:rsidRPr="000D6E73">
        <w:rPr>
          <w:rFonts w:asciiTheme="minorHAnsi" w:hAnsiTheme="minorHAnsi"/>
        </w:rPr>
        <w:t>rescribing of anti</w:t>
      </w:r>
      <w:r w:rsidR="00D22674">
        <w:rPr>
          <w:rFonts w:asciiTheme="minorHAnsi" w:hAnsiTheme="minorHAnsi"/>
        </w:rPr>
        <w:t>biotic</w:t>
      </w:r>
      <w:r w:rsidRPr="000D6E73">
        <w:rPr>
          <w:rFonts w:asciiTheme="minorHAnsi" w:hAnsiTheme="minorHAnsi"/>
        </w:rPr>
        <w:t>s to treat</w:t>
      </w:r>
      <w:r w:rsidR="0011526E">
        <w:rPr>
          <w:rFonts w:asciiTheme="minorHAnsi" w:hAnsiTheme="minorHAnsi"/>
        </w:rPr>
        <w:t xml:space="preserve"> </w:t>
      </w:r>
      <w:r w:rsidR="005F163D">
        <w:rPr>
          <w:rFonts w:asciiTheme="minorHAnsi" w:hAnsiTheme="minorHAnsi"/>
        </w:rPr>
        <w:t>presumptively viral</w:t>
      </w:r>
      <w:r w:rsidR="005F163D" w:rsidRPr="000D6E73">
        <w:rPr>
          <w:rFonts w:asciiTheme="minorHAnsi" w:hAnsiTheme="minorHAnsi"/>
        </w:rPr>
        <w:t xml:space="preserve"> </w:t>
      </w:r>
      <w:r w:rsidRPr="000D6E73">
        <w:rPr>
          <w:rFonts w:asciiTheme="minorHAnsi" w:hAnsiTheme="minorHAnsi"/>
        </w:rPr>
        <w:t>respiratory tract infections is common – more than 60% of pat</w:t>
      </w:r>
      <w:r w:rsidR="00311742">
        <w:rPr>
          <w:rFonts w:asciiTheme="minorHAnsi" w:hAnsiTheme="minorHAnsi"/>
        </w:rPr>
        <w:t xml:space="preserve">ients with these conditions may be </w:t>
      </w:r>
      <w:r w:rsidRPr="000D6E73">
        <w:rPr>
          <w:rFonts w:asciiTheme="minorHAnsi" w:hAnsiTheme="minorHAnsi"/>
        </w:rPr>
        <w:t>prescribed an anti</w:t>
      </w:r>
      <w:r w:rsidR="00D22674">
        <w:rPr>
          <w:rFonts w:asciiTheme="minorHAnsi" w:hAnsiTheme="minorHAnsi"/>
        </w:rPr>
        <w:t>biotic</w:t>
      </w:r>
      <w:r w:rsidRPr="000D6E73">
        <w:rPr>
          <w:rFonts w:asciiTheme="minorHAnsi" w:hAnsiTheme="minorHAnsi"/>
        </w:rPr>
        <w:t xml:space="preserve"> </w:t>
      </w:r>
      <w:r w:rsidR="00311742">
        <w:rPr>
          <w:rFonts w:asciiTheme="minorHAnsi" w:hAnsiTheme="minorHAnsi"/>
        </w:rPr>
        <w:t>when</w:t>
      </w:r>
      <w:r w:rsidRPr="000D6E73">
        <w:rPr>
          <w:rFonts w:asciiTheme="minorHAnsi" w:hAnsiTheme="minorHAnsi"/>
        </w:rPr>
        <w:t xml:space="preserve"> anti</w:t>
      </w:r>
      <w:r w:rsidR="00D22674">
        <w:rPr>
          <w:rFonts w:asciiTheme="minorHAnsi" w:hAnsiTheme="minorHAnsi"/>
        </w:rPr>
        <w:t>biotic</w:t>
      </w:r>
      <w:r w:rsidRPr="000D6E73">
        <w:rPr>
          <w:rFonts w:asciiTheme="minorHAnsi" w:hAnsiTheme="minorHAnsi"/>
        </w:rPr>
        <w:t>s are usually not recommended for th</w:t>
      </w:r>
      <w:r w:rsidR="00105313">
        <w:rPr>
          <w:rFonts w:asciiTheme="minorHAnsi" w:hAnsiTheme="minorHAnsi"/>
        </w:rPr>
        <w:t>ese conditions;</w:t>
      </w:r>
    </w:p>
    <w:p w:rsidR="00EF03F5" w:rsidRPr="00EF03F5" w:rsidRDefault="00105313" w:rsidP="00EF03F5">
      <w:pPr>
        <w:pStyle w:val="ListParagraph"/>
        <w:numPr>
          <w:ilvl w:val="0"/>
          <w:numId w:val="7"/>
        </w:numPr>
        <w:rPr>
          <w:rFonts w:asciiTheme="minorHAnsi" w:hAnsiTheme="minorHAnsi"/>
          <w:u w:val="single"/>
        </w:rPr>
      </w:pPr>
      <w:r>
        <w:rPr>
          <w:rFonts w:asciiTheme="minorHAnsi" w:hAnsiTheme="minorHAnsi" w:cs="Arial"/>
        </w:rPr>
        <w:t>a</w:t>
      </w:r>
      <w:r w:rsidR="00EF03F5">
        <w:rPr>
          <w:rFonts w:asciiTheme="minorHAnsi" w:hAnsiTheme="minorHAnsi" w:cs="Arial"/>
        </w:rPr>
        <w:t xml:space="preserve"> survey of aged care homes in 2015 showed that the prevalence of aged care residents with signs and symptoms of infection was 4.5%, while the prevalence of residents prescribed one or more antimicrobials was 11.3%</w:t>
      </w:r>
      <w:r>
        <w:rPr>
          <w:rFonts w:asciiTheme="minorHAnsi" w:hAnsiTheme="minorHAnsi" w:cs="Arial"/>
        </w:rPr>
        <w:t>;</w:t>
      </w:r>
    </w:p>
    <w:p w:rsidR="00853C4E" w:rsidRPr="000D6E73" w:rsidRDefault="00853C4E" w:rsidP="0008579C">
      <w:pPr>
        <w:pStyle w:val="ListParagraph"/>
        <w:numPr>
          <w:ilvl w:val="0"/>
          <w:numId w:val="7"/>
        </w:numPr>
        <w:rPr>
          <w:rFonts w:asciiTheme="minorHAnsi" w:hAnsiTheme="minorHAnsi"/>
        </w:rPr>
      </w:pPr>
      <w:r w:rsidRPr="000D6E73">
        <w:rPr>
          <w:rFonts w:asciiTheme="minorHAnsi" w:hAnsiTheme="minorHAnsi"/>
        </w:rPr>
        <w:t xml:space="preserve">Australia’s </w:t>
      </w:r>
      <w:r w:rsidR="00D22674">
        <w:rPr>
          <w:rFonts w:asciiTheme="minorHAnsi" w:hAnsiTheme="minorHAnsi"/>
        </w:rPr>
        <w:t xml:space="preserve">rate of </w:t>
      </w:r>
      <w:r w:rsidRPr="000D6E73">
        <w:rPr>
          <w:rFonts w:asciiTheme="minorHAnsi" w:hAnsiTheme="minorHAnsi"/>
        </w:rPr>
        <w:t xml:space="preserve">antibacterial use in hospitals peaked in 2010, and has </w:t>
      </w:r>
      <w:r w:rsidR="00D22674">
        <w:rPr>
          <w:rFonts w:asciiTheme="minorHAnsi" w:hAnsiTheme="minorHAnsi"/>
        </w:rPr>
        <w:t xml:space="preserve">steadily </w:t>
      </w:r>
      <w:r w:rsidRPr="000D6E73">
        <w:rPr>
          <w:rFonts w:asciiTheme="minorHAnsi" w:hAnsiTheme="minorHAnsi"/>
        </w:rPr>
        <w:t xml:space="preserve">decreased </w:t>
      </w:r>
      <w:r>
        <w:rPr>
          <w:rFonts w:asciiTheme="minorHAnsi" w:hAnsiTheme="minorHAnsi"/>
        </w:rPr>
        <w:t>between 2010 and 2015;</w:t>
      </w:r>
    </w:p>
    <w:p w:rsidR="00853C4E" w:rsidRDefault="00853C4E" w:rsidP="0008579C">
      <w:pPr>
        <w:pStyle w:val="ListParagraph"/>
        <w:numPr>
          <w:ilvl w:val="0"/>
          <w:numId w:val="7"/>
        </w:numPr>
        <w:rPr>
          <w:rFonts w:asciiTheme="minorHAnsi" w:hAnsiTheme="minorHAnsi"/>
        </w:rPr>
      </w:pPr>
      <w:r>
        <w:rPr>
          <w:rFonts w:asciiTheme="minorHAnsi" w:hAnsiTheme="minorHAnsi"/>
        </w:rPr>
        <w:t>t</w:t>
      </w:r>
      <w:r w:rsidRPr="000D6E73">
        <w:rPr>
          <w:rFonts w:asciiTheme="minorHAnsi" w:hAnsiTheme="minorHAnsi"/>
        </w:rPr>
        <w:t>here has been a reduction in fluoroquinolone usage rates in line with strategies to restrict u</w:t>
      </w:r>
      <w:r>
        <w:rPr>
          <w:rFonts w:asciiTheme="minorHAnsi" w:hAnsiTheme="minorHAnsi"/>
        </w:rPr>
        <w:t>se in most Australian hospitals;</w:t>
      </w:r>
    </w:p>
    <w:p w:rsidR="00853C4E" w:rsidRDefault="00853C4E" w:rsidP="0008579C">
      <w:pPr>
        <w:pStyle w:val="ListParagraph"/>
        <w:numPr>
          <w:ilvl w:val="0"/>
          <w:numId w:val="7"/>
        </w:numPr>
        <w:rPr>
          <w:rFonts w:asciiTheme="minorHAnsi" w:hAnsiTheme="minorHAnsi"/>
        </w:rPr>
      </w:pPr>
      <w:r>
        <w:rPr>
          <w:rFonts w:asciiTheme="minorHAnsi" w:hAnsiTheme="minorHAnsi"/>
        </w:rPr>
        <w:t>i</w:t>
      </w:r>
      <w:r w:rsidRPr="000D6E73">
        <w:rPr>
          <w:rFonts w:asciiTheme="minorHAnsi" w:hAnsiTheme="minorHAnsi"/>
        </w:rPr>
        <w:t>n hospitals, 23.3% of antibiotic prescribing did not comply with guideline</w:t>
      </w:r>
      <w:r w:rsidR="00A55C8E">
        <w:rPr>
          <w:rFonts w:asciiTheme="minorHAnsi" w:hAnsiTheme="minorHAnsi"/>
        </w:rPr>
        <w:t>s</w:t>
      </w:r>
      <w:r w:rsidRPr="000D6E73">
        <w:rPr>
          <w:rFonts w:asciiTheme="minorHAnsi" w:hAnsiTheme="minorHAnsi"/>
        </w:rPr>
        <w:t xml:space="preserve">. Of surgical prophylaxis prescriptions, 27.4% were continued for longer than 24 hours (less than </w:t>
      </w:r>
      <w:r>
        <w:rPr>
          <w:rFonts w:asciiTheme="minorHAnsi" w:hAnsiTheme="minorHAnsi"/>
        </w:rPr>
        <w:t>5% is considered best practice);</w:t>
      </w:r>
    </w:p>
    <w:p w:rsidR="00853C4E" w:rsidRPr="000D6E73" w:rsidRDefault="005F163D" w:rsidP="0008579C">
      <w:pPr>
        <w:pStyle w:val="ListParagraph"/>
        <w:numPr>
          <w:ilvl w:val="0"/>
          <w:numId w:val="7"/>
        </w:numPr>
        <w:rPr>
          <w:rFonts w:asciiTheme="minorHAnsi" w:hAnsiTheme="minorHAnsi"/>
        </w:rPr>
      </w:pPr>
      <w:r>
        <w:rPr>
          <w:rFonts w:asciiTheme="minorHAnsi" w:hAnsiTheme="minorHAnsi"/>
        </w:rPr>
        <w:t xml:space="preserve">almost 40% of cefalexin </w:t>
      </w:r>
      <w:r w:rsidR="00853C4E">
        <w:rPr>
          <w:rFonts w:asciiTheme="minorHAnsi" w:hAnsiTheme="minorHAnsi"/>
        </w:rPr>
        <w:t>prescriptions in</w:t>
      </w:r>
      <w:r w:rsidR="00311742">
        <w:rPr>
          <w:rFonts w:asciiTheme="minorHAnsi" w:hAnsiTheme="minorHAnsi"/>
        </w:rPr>
        <w:t xml:space="preserve"> survey</w:t>
      </w:r>
      <w:r w:rsidR="00853C4E">
        <w:rPr>
          <w:rFonts w:asciiTheme="minorHAnsi" w:hAnsiTheme="minorHAnsi"/>
        </w:rPr>
        <w:t xml:space="preserve"> hospitals were</w:t>
      </w:r>
      <w:r w:rsidR="00311742">
        <w:rPr>
          <w:rFonts w:asciiTheme="minorHAnsi" w:hAnsiTheme="minorHAnsi"/>
        </w:rPr>
        <w:t xml:space="preserve"> </w:t>
      </w:r>
      <w:r w:rsidR="00853C4E">
        <w:rPr>
          <w:rFonts w:asciiTheme="minorHAnsi" w:hAnsiTheme="minorHAnsi"/>
        </w:rPr>
        <w:t>inappropriate, with most inappropriate use for surgical prophylaxis, urinary tract infections and pneumonia;</w:t>
      </w:r>
    </w:p>
    <w:p w:rsidR="00853C4E" w:rsidRPr="000D6E73" w:rsidRDefault="00853C4E" w:rsidP="0008579C">
      <w:pPr>
        <w:pStyle w:val="ListParagraph"/>
        <w:numPr>
          <w:ilvl w:val="0"/>
          <w:numId w:val="7"/>
        </w:numPr>
        <w:rPr>
          <w:rFonts w:asciiTheme="minorHAnsi" w:hAnsiTheme="minorHAnsi"/>
        </w:rPr>
      </w:pPr>
      <w:r>
        <w:rPr>
          <w:rFonts w:asciiTheme="minorHAnsi" w:hAnsiTheme="minorHAnsi"/>
        </w:rPr>
        <w:t>t</w:t>
      </w:r>
      <w:r w:rsidRPr="000D6E73">
        <w:rPr>
          <w:rFonts w:asciiTheme="minorHAnsi" w:hAnsiTheme="minorHAnsi"/>
        </w:rPr>
        <w:t>he most common reasons that hospital prescriptions were deemed to be inappropriate were:</w:t>
      </w:r>
    </w:p>
    <w:p w:rsidR="00853C4E" w:rsidRPr="000D6E73" w:rsidRDefault="00853C4E" w:rsidP="0008579C">
      <w:pPr>
        <w:pStyle w:val="ListParagraph"/>
        <w:numPr>
          <w:ilvl w:val="1"/>
          <w:numId w:val="7"/>
        </w:numPr>
        <w:rPr>
          <w:rFonts w:asciiTheme="minorHAnsi" w:hAnsiTheme="minorHAnsi"/>
        </w:rPr>
      </w:pPr>
      <w:r w:rsidRPr="000D6E73">
        <w:rPr>
          <w:rFonts w:asciiTheme="minorHAnsi" w:hAnsiTheme="minorHAnsi"/>
        </w:rPr>
        <w:t>an anti</w:t>
      </w:r>
      <w:r w:rsidR="00A55C8E">
        <w:rPr>
          <w:rFonts w:asciiTheme="minorHAnsi" w:hAnsiTheme="minorHAnsi"/>
        </w:rPr>
        <w:t>microbial was not needed</w:t>
      </w:r>
    </w:p>
    <w:p w:rsidR="00853C4E" w:rsidRPr="000D6E73" w:rsidRDefault="00853C4E" w:rsidP="0008579C">
      <w:pPr>
        <w:pStyle w:val="ListParagraph"/>
        <w:numPr>
          <w:ilvl w:val="1"/>
          <w:numId w:val="7"/>
        </w:numPr>
        <w:rPr>
          <w:rFonts w:asciiTheme="minorHAnsi" w:hAnsiTheme="minorHAnsi"/>
        </w:rPr>
      </w:pPr>
      <w:r w:rsidRPr="000D6E73">
        <w:rPr>
          <w:rFonts w:asciiTheme="minorHAnsi" w:hAnsiTheme="minorHAnsi"/>
        </w:rPr>
        <w:t>the antimicrobial chosen was incorrect</w:t>
      </w:r>
      <w:r w:rsidR="00A55C8E">
        <w:rPr>
          <w:rFonts w:asciiTheme="minorHAnsi" w:hAnsiTheme="minorHAnsi"/>
        </w:rPr>
        <w:t xml:space="preserve"> (spectrum too broad</w:t>
      </w:r>
      <w:r w:rsidRPr="000D6E73">
        <w:rPr>
          <w:rFonts w:asciiTheme="minorHAnsi" w:hAnsiTheme="minorHAnsi"/>
        </w:rPr>
        <w:t>)</w:t>
      </w:r>
    </w:p>
    <w:p w:rsidR="00853C4E" w:rsidRPr="000D6E73" w:rsidRDefault="00853C4E" w:rsidP="003F4738">
      <w:pPr>
        <w:pStyle w:val="ListParagraph"/>
        <w:numPr>
          <w:ilvl w:val="1"/>
          <w:numId w:val="7"/>
        </w:numPr>
        <w:spacing w:after="120"/>
        <w:ind w:left="1434" w:hanging="357"/>
        <w:contextualSpacing w:val="0"/>
        <w:rPr>
          <w:rFonts w:asciiTheme="minorHAnsi" w:hAnsiTheme="minorHAnsi"/>
        </w:rPr>
      </w:pPr>
      <w:r w:rsidRPr="000D6E73">
        <w:rPr>
          <w:rFonts w:asciiTheme="minorHAnsi" w:hAnsiTheme="minorHAnsi"/>
        </w:rPr>
        <w:t>th</w:t>
      </w:r>
      <w:r w:rsidR="00A55C8E">
        <w:rPr>
          <w:rFonts w:asciiTheme="minorHAnsi" w:hAnsiTheme="minorHAnsi"/>
        </w:rPr>
        <w:t>e duration of treatment</w:t>
      </w:r>
      <w:r w:rsidRPr="000D6E73">
        <w:rPr>
          <w:rFonts w:asciiTheme="minorHAnsi" w:hAnsiTheme="minorHAnsi"/>
        </w:rPr>
        <w:t xml:space="preserve"> or the </w:t>
      </w:r>
      <w:r w:rsidR="00A55C8E">
        <w:rPr>
          <w:rFonts w:asciiTheme="minorHAnsi" w:hAnsiTheme="minorHAnsi"/>
        </w:rPr>
        <w:t>dose</w:t>
      </w:r>
      <w:r w:rsidR="00D22674">
        <w:rPr>
          <w:rFonts w:asciiTheme="minorHAnsi" w:hAnsiTheme="minorHAnsi"/>
        </w:rPr>
        <w:t xml:space="preserve"> </w:t>
      </w:r>
      <w:r>
        <w:rPr>
          <w:rFonts w:asciiTheme="minorHAnsi" w:hAnsiTheme="minorHAnsi"/>
        </w:rPr>
        <w:t>was incorrect</w:t>
      </w:r>
      <w:r w:rsidR="00D22674">
        <w:rPr>
          <w:rFonts w:asciiTheme="minorHAnsi" w:hAnsiTheme="minorHAnsi"/>
        </w:rPr>
        <w:t>.</w:t>
      </w:r>
    </w:p>
    <w:p w:rsidR="004D7790" w:rsidRDefault="000D3CEB" w:rsidP="0068786B">
      <w:pPr>
        <w:spacing w:after="120"/>
        <w:rPr>
          <w:rFonts w:asciiTheme="minorHAnsi" w:hAnsiTheme="minorHAnsi"/>
        </w:rPr>
      </w:pPr>
      <w:r w:rsidRPr="0055052A">
        <w:rPr>
          <w:rFonts w:asciiTheme="minorHAnsi" w:hAnsiTheme="minorHAnsi"/>
        </w:rPr>
        <w:t>Australia has one of the most conservative approaches to the use of antimicrobials in livestock production in the world.</w:t>
      </w:r>
      <w:r w:rsidR="0055052A" w:rsidRPr="0055052A">
        <w:rPr>
          <w:rFonts w:asciiTheme="minorHAnsi" w:hAnsiTheme="minorHAnsi"/>
        </w:rPr>
        <w:t xml:space="preserve"> The Australian Pesticides and Veterinary Medicines Authority (APVMA) evaluates and registers antimicrobials for animal use in Australia. The evaluation process involves conducting a risk assessment, including for antibiotic resistance. </w:t>
      </w:r>
      <w:r w:rsidRPr="0055052A">
        <w:rPr>
          <w:rFonts w:asciiTheme="minorHAnsi" w:hAnsiTheme="minorHAnsi"/>
        </w:rPr>
        <w:t xml:space="preserve"> </w:t>
      </w:r>
      <w:r w:rsidR="0055052A" w:rsidRPr="0055052A">
        <w:rPr>
          <w:rFonts w:asciiTheme="minorHAnsi" w:hAnsiTheme="minorHAnsi"/>
        </w:rPr>
        <w:t>Nearly all antimicrobials used in animals are Schedule 4 medicines meaning that they are prescription only medicines. Veterinary surgeons boards (established under state/territory legislation) control the practice of veterinary science and the capacity of veterinarians to use, prescribe, and supply antimicrobials.</w:t>
      </w:r>
      <w:r w:rsidR="0055052A">
        <w:rPr>
          <w:rFonts w:asciiTheme="minorHAnsi" w:hAnsiTheme="minorHAnsi"/>
        </w:rPr>
        <w:t xml:space="preserve"> </w:t>
      </w:r>
    </w:p>
    <w:p w:rsidR="00567BD1" w:rsidRDefault="004D7790" w:rsidP="0068786B">
      <w:pPr>
        <w:spacing w:after="120"/>
        <w:rPr>
          <w:rFonts w:asciiTheme="minorHAnsi" w:hAnsiTheme="minorHAnsi"/>
        </w:rPr>
      </w:pPr>
      <w:r>
        <w:rPr>
          <w:rFonts w:asciiTheme="minorHAnsi" w:hAnsiTheme="minorHAnsi"/>
        </w:rPr>
        <w:t>Australia has been participating in the</w:t>
      </w:r>
      <w:r w:rsidR="00494333">
        <w:rPr>
          <w:rFonts w:asciiTheme="minorHAnsi" w:hAnsiTheme="minorHAnsi" w:cs="Arial"/>
        </w:rPr>
        <w:t xml:space="preserve"> World Organis</w:t>
      </w:r>
      <w:r w:rsidR="00494333" w:rsidRPr="006B6134">
        <w:rPr>
          <w:rFonts w:asciiTheme="minorHAnsi" w:hAnsiTheme="minorHAnsi" w:cs="Arial"/>
        </w:rPr>
        <w:t xml:space="preserve">ation for Animal Health (OIE) </w:t>
      </w:r>
      <w:r w:rsidRPr="004D7790">
        <w:rPr>
          <w:rFonts w:asciiTheme="minorHAnsi" w:hAnsiTheme="minorHAnsi"/>
        </w:rPr>
        <w:t>data collection</w:t>
      </w:r>
      <w:r>
        <w:rPr>
          <w:rFonts w:asciiTheme="minorHAnsi" w:hAnsiTheme="minorHAnsi"/>
        </w:rPr>
        <w:t xml:space="preserve"> on antimicrobial usage in animals since the commencement of this </w:t>
      </w:r>
      <w:r w:rsidRPr="004D7790">
        <w:rPr>
          <w:rFonts w:asciiTheme="minorHAnsi" w:hAnsiTheme="minorHAnsi"/>
        </w:rPr>
        <w:t xml:space="preserve">process </w:t>
      </w:r>
      <w:r>
        <w:rPr>
          <w:rFonts w:asciiTheme="minorHAnsi" w:hAnsiTheme="minorHAnsi"/>
        </w:rPr>
        <w:t xml:space="preserve">in </w:t>
      </w:r>
      <w:r w:rsidRPr="004D7790">
        <w:rPr>
          <w:rFonts w:asciiTheme="minorHAnsi" w:hAnsiTheme="minorHAnsi"/>
        </w:rPr>
        <w:t>2015</w:t>
      </w:r>
      <w:r>
        <w:rPr>
          <w:rFonts w:asciiTheme="minorHAnsi" w:hAnsiTheme="minorHAnsi"/>
        </w:rPr>
        <w:t>.</w:t>
      </w:r>
    </w:p>
    <w:p w:rsidR="004D7790" w:rsidRDefault="004D7790" w:rsidP="0068786B">
      <w:pPr>
        <w:spacing w:after="120"/>
        <w:rPr>
          <w:rFonts w:asciiTheme="minorHAnsi" w:hAnsiTheme="minorHAnsi"/>
        </w:rPr>
      </w:pPr>
      <w:r>
        <w:rPr>
          <w:rFonts w:asciiTheme="minorHAnsi" w:hAnsiTheme="minorHAnsi"/>
        </w:rPr>
        <w:lastRenderedPageBreak/>
        <w:t>Australia is currently exploring,</w:t>
      </w:r>
      <w:r w:rsidRPr="004D7790">
        <w:rPr>
          <w:rFonts w:asciiTheme="minorHAnsi" w:hAnsiTheme="minorHAnsi"/>
        </w:rPr>
        <w:t xml:space="preserve"> </w:t>
      </w:r>
      <w:r>
        <w:rPr>
          <w:rFonts w:asciiTheme="minorHAnsi" w:hAnsiTheme="minorHAnsi"/>
        </w:rPr>
        <w:t>in collaboration with</w:t>
      </w:r>
      <w:r w:rsidRPr="004D7790">
        <w:rPr>
          <w:rFonts w:asciiTheme="minorHAnsi" w:hAnsiTheme="minorHAnsi"/>
        </w:rPr>
        <w:t xml:space="preserve"> key stakeholders</w:t>
      </w:r>
      <w:r>
        <w:rPr>
          <w:rFonts w:asciiTheme="minorHAnsi" w:hAnsiTheme="minorHAnsi"/>
        </w:rPr>
        <w:t>,</w:t>
      </w:r>
      <w:r w:rsidRPr="004D7790">
        <w:rPr>
          <w:rFonts w:asciiTheme="minorHAnsi" w:hAnsiTheme="minorHAnsi"/>
        </w:rPr>
        <w:t xml:space="preserve"> the best approach</w:t>
      </w:r>
      <w:r>
        <w:rPr>
          <w:rFonts w:asciiTheme="minorHAnsi" w:hAnsiTheme="minorHAnsi"/>
        </w:rPr>
        <w:t xml:space="preserve"> </w:t>
      </w:r>
      <w:r w:rsidRPr="004D7790">
        <w:rPr>
          <w:rFonts w:asciiTheme="minorHAnsi" w:hAnsiTheme="minorHAnsi"/>
        </w:rPr>
        <w:t>to improve data collection for international reporting obligations on veterinary antimicrobials and to support antimicrobial usage for animals in Australia.</w:t>
      </w:r>
    </w:p>
    <w:p w:rsidR="001866D7" w:rsidRDefault="00335C1E" w:rsidP="00567BD1">
      <w:pPr>
        <w:spacing w:after="120"/>
        <w:rPr>
          <w:rFonts w:asciiTheme="minorHAnsi" w:hAnsiTheme="minorHAnsi"/>
        </w:rPr>
      </w:pPr>
      <w:r w:rsidRPr="00335C1E">
        <w:rPr>
          <w:rFonts w:asciiTheme="minorHAnsi" w:hAnsiTheme="minorHAnsi"/>
        </w:rPr>
        <w:t xml:space="preserve">The </w:t>
      </w:r>
      <w:r w:rsidR="0055052A" w:rsidRPr="00335C1E">
        <w:rPr>
          <w:rFonts w:asciiTheme="minorHAnsi" w:hAnsiTheme="minorHAnsi"/>
        </w:rPr>
        <w:t xml:space="preserve">Australian Government Department of Agriculture and Water Resources </w:t>
      </w:r>
      <w:r w:rsidRPr="00335C1E">
        <w:rPr>
          <w:rFonts w:asciiTheme="minorHAnsi" w:hAnsiTheme="minorHAnsi"/>
        </w:rPr>
        <w:t xml:space="preserve">has also </w:t>
      </w:r>
      <w:r w:rsidR="0055052A" w:rsidRPr="00335C1E">
        <w:rPr>
          <w:rFonts w:asciiTheme="minorHAnsi" w:hAnsiTheme="minorHAnsi"/>
        </w:rPr>
        <w:t>funded an antimicrobial stewardship project with Veterina</w:t>
      </w:r>
      <w:r w:rsidR="001866D7">
        <w:rPr>
          <w:rFonts w:asciiTheme="minorHAnsi" w:hAnsiTheme="minorHAnsi"/>
        </w:rPr>
        <w:t>ry Schools of Australia and New </w:t>
      </w:r>
      <w:r w:rsidR="0055052A" w:rsidRPr="00335C1E">
        <w:rPr>
          <w:rFonts w:asciiTheme="minorHAnsi" w:hAnsiTheme="minorHAnsi"/>
        </w:rPr>
        <w:t>Zealand to develop an education module for veterinarians in practice</w:t>
      </w:r>
      <w:r w:rsidR="004D7790" w:rsidRPr="00335C1E">
        <w:rPr>
          <w:rFonts w:asciiTheme="minorHAnsi" w:hAnsiTheme="minorHAnsi"/>
        </w:rPr>
        <w:t xml:space="preserve"> to improve stewardship of antimicrobials in this setting</w:t>
      </w:r>
      <w:r w:rsidR="0055052A" w:rsidRPr="00335C1E">
        <w:rPr>
          <w:rFonts w:asciiTheme="minorHAnsi" w:hAnsiTheme="minorHAnsi"/>
        </w:rPr>
        <w:t xml:space="preserve">. </w:t>
      </w:r>
      <w:r w:rsidR="004D7790" w:rsidRPr="00335C1E">
        <w:rPr>
          <w:rFonts w:asciiTheme="minorHAnsi" w:hAnsiTheme="minorHAnsi"/>
        </w:rPr>
        <w:t xml:space="preserve">Every veterinary school’s curriculum emphasises best </w:t>
      </w:r>
      <w:r w:rsidR="00026D67">
        <w:rPr>
          <w:rFonts w:asciiTheme="minorHAnsi" w:hAnsiTheme="minorHAnsi"/>
        </w:rPr>
        <w:t xml:space="preserve">prescribing </w:t>
      </w:r>
      <w:r w:rsidR="004D7790" w:rsidRPr="00335C1E">
        <w:rPr>
          <w:rFonts w:asciiTheme="minorHAnsi" w:hAnsiTheme="minorHAnsi"/>
        </w:rPr>
        <w:t>practices in relation to the minimisation of AMR, but this may be ‘unlearned’ following graduation.</w:t>
      </w:r>
    </w:p>
    <w:p w:rsidR="001478E0" w:rsidRPr="00165C0F" w:rsidRDefault="00335C1E" w:rsidP="00567BD1">
      <w:pPr>
        <w:spacing w:after="120"/>
      </w:pPr>
      <w:r w:rsidRPr="00335C1E">
        <w:rPr>
          <w:rFonts w:asciiTheme="minorHAnsi" w:hAnsiTheme="minorHAnsi"/>
        </w:rPr>
        <w:t xml:space="preserve">This activity has been complemented by other </w:t>
      </w:r>
      <w:r w:rsidR="000505CE">
        <w:rPr>
          <w:rFonts w:asciiTheme="minorHAnsi" w:hAnsiTheme="minorHAnsi"/>
        </w:rPr>
        <w:t>grassroots</w:t>
      </w:r>
      <w:r w:rsidRPr="00335C1E">
        <w:rPr>
          <w:rFonts w:asciiTheme="minorHAnsi" w:hAnsiTheme="minorHAnsi"/>
        </w:rPr>
        <w:t xml:space="preserve"> </w:t>
      </w:r>
      <w:r>
        <w:rPr>
          <w:rFonts w:asciiTheme="minorHAnsi" w:hAnsiTheme="minorHAnsi"/>
        </w:rPr>
        <w:t xml:space="preserve">antimicrobial stewardship </w:t>
      </w:r>
      <w:r w:rsidRPr="00335C1E">
        <w:rPr>
          <w:rFonts w:asciiTheme="minorHAnsi" w:hAnsiTheme="minorHAnsi"/>
        </w:rPr>
        <w:t xml:space="preserve">initiatives such as the Intensive Animal Antimicrobial Stewardship </w:t>
      </w:r>
      <w:r w:rsidR="00BF17CD">
        <w:rPr>
          <w:rFonts w:asciiTheme="minorHAnsi" w:hAnsiTheme="minorHAnsi"/>
        </w:rPr>
        <w:t>working group</w:t>
      </w:r>
      <w:r>
        <w:rPr>
          <w:rFonts w:asciiTheme="minorHAnsi" w:hAnsiTheme="minorHAnsi"/>
        </w:rPr>
        <w:t>, which ha</w:t>
      </w:r>
      <w:r w:rsidR="00F376A0">
        <w:rPr>
          <w:rFonts w:asciiTheme="minorHAnsi" w:hAnsiTheme="minorHAnsi"/>
        </w:rPr>
        <w:t>s</w:t>
      </w:r>
      <w:r>
        <w:rPr>
          <w:rFonts w:asciiTheme="minorHAnsi" w:hAnsiTheme="minorHAnsi"/>
        </w:rPr>
        <w:t xml:space="preserve"> developed </w:t>
      </w:r>
      <w:r w:rsidRPr="00335C1E">
        <w:rPr>
          <w:rFonts w:asciiTheme="minorHAnsi" w:hAnsiTheme="minorHAnsi"/>
        </w:rPr>
        <w:t>an antimicrobial stewardship framework to use as a basis for antimicrobial stewardship activities</w:t>
      </w:r>
      <w:r>
        <w:rPr>
          <w:rFonts w:asciiTheme="minorHAnsi" w:hAnsiTheme="minorHAnsi"/>
        </w:rPr>
        <w:t xml:space="preserve"> in </w:t>
      </w:r>
      <w:r w:rsidR="00026D67">
        <w:rPr>
          <w:rFonts w:asciiTheme="minorHAnsi" w:hAnsiTheme="minorHAnsi"/>
        </w:rPr>
        <w:t xml:space="preserve">the pig, chicken meat and </w:t>
      </w:r>
      <w:r w:rsidR="008615B4">
        <w:rPr>
          <w:rFonts w:asciiTheme="minorHAnsi" w:hAnsiTheme="minorHAnsi"/>
        </w:rPr>
        <w:t xml:space="preserve">chicken </w:t>
      </w:r>
      <w:r w:rsidR="00026D67">
        <w:rPr>
          <w:rFonts w:asciiTheme="minorHAnsi" w:hAnsiTheme="minorHAnsi"/>
        </w:rPr>
        <w:t>egg sectors</w:t>
      </w:r>
      <w:r w:rsidRPr="00335C1E">
        <w:rPr>
          <w:rFonts w:asciiTheme="minorHAnsi" w:hAnsiTheme="minorHAnsi"/>
        </w:rPr>
        <w:t>.</w:t>
      </w:r>
      <w:r w:rsidR="001478E0" w:rsidRPr="00165C0F">
        <w:br w:type="page"/>
      </w:r>
    </w:p>
    <w:p w:rsidR="00DB27F7" w:rsidRPr="00A93797" w:rsidRDefault="00DB27F7" w:rsidP="00A93797">
      <w:pPr>
        <w:pStyle w:val="Heading1"/>
      </w:pPr>
      <w:bookmarkStart w:id="5" w:name="_Toc498070414"/>
      <w:r w:rsidRPr="00A93797">
        <w:lastRenderedPageBreak/>
        <w:t xml:space="preserve">Progress against the </w:t>
      </w:r>
      <w:r w:rsidR="00A10098" w:rsidRPr="00A93797">
        <w:t>O</w:t>
      </w:r>
      <w:r w:rsidRPr="00A93797">
        <w:t>bjectives</w:t>
      </w:r>
      <w:r w:rsidR="00A10098" w:rsidRPr="00A93797">
        <w:t xml:space="preserve"> of the National AMR Strategy 2015-19</w:t>
      </w:r>
      <w:bookmarkEnd w:id="5"/>
    </w:p>
    <w:tbl>
      <w:tblPr>
        <w:tblStyle w:val="TableGrid"/>
        <w:tblpPr w:leftFromText="180" w:rightFromText="180" w:horzAnchor="margin" w:tblpY="435"/>
        <w:tblW w:w="0" w:type="auto"/>
        <w:shd w:val="clear" w:color="auto" w:fill="CCC0D9" w:themeFill="accent4" w:themeFillTint="66"/>
        <w:tblLook w:val="04A0" w:firstRow="1" w:lastRow="0" w:firstColumn="1" w:lastColumn="0" w:noHBand="0" w:noVBand="1"/>
        <w:tblCaption w:val="Objective 1: Increase awareness and understanding of AMR, its implications, and actions to combat it through effective communication, education and training. "/>
      </w:tblPr>
      <w:tblGrid>
        <w:gridCol w:w="9242"/>
      </w:tblGrid>
      <w:tr w:rsidR="00BE367A" w:rsidRPr="00A93797" w:rsidTr="00F85DED">
        <w:trPr>
          <w:tblHeader/>
        </w:trPr>
        <w:tc>
          <w:tcPr>
            <w:tcW w:w="9242" w:type="dxa"/>
            <w:shd w:val="clear" w:color="auto" w:fill="CCC0D9" w:themeFill="accent4" w:themeFillTint="66"/>
          </w:tcPr>
          <w:p w:rsidR="00BE367A" w:rsidRPr="00A93797" w:rsidRDefault="00BE367A" w:rsidP="00F85DED">
            <w:pPr>
              <w:pStyle w:val="Heading2"/>
              <w:outlineLvl w:val="1"/>
            </w:pPr>
            <w:bookmarkStart w:id="6" w:name="_Toc498070415"/>
            <w:r w:rsidRPr="00A93797">
              <w:t>Objective 1: Increase awareness and understanding of AMR, its implications and actions to combat it</w:t>
            </w:r>
            <w:r w:rsidR="00423F08" w:rsidRPr="00A93797">
              <w:t>,</w:t>
            </w:r>
            <w:r w:rsidRPr="00A93797">
              <w:t xml:space="preserve"> through effective communication, education and training.</w:t>
            </w:r>
            <w:bookmarkEnd w:id="6"/>
          </w:p>
        </w:tc>
      </w:tr>
    </w:tbl>
    <w:p w:rsidR="0008461B" w:rsidRDefault="0008461B" w:rsidP="0008461B">
      <w:pPr>
        <w:rPr>
          <w:rFonts w:asciiTheme="minorHAnsi" w:hAnsiTheme="minorHAnsi"/>
        </w:rPr>
      </w:pPr>
    </w:p>
    <w:p w:rsidR="0008461B" w:rsidRPr="00445D1A" w:rsidRDefault="0008461B" w:rsidP="00445D1A">
      <w:pPr>
        <w:pStyle w:val="Heading3"/>
      </w:pPr>
      <w:r w:rsidRPr="00445D1A">
        <w:t>Introduction</w:t>
      </w:r>
    </w:p>
    <w:p w:rsidR="00196A97" w:rsidRPr="00BF0A8B" w:rsidRDefault="002E69C6" w:rsidP="00691A93">
      <w:pPr>
        <w:rPr>
          <w:rFonts w:asciiTheme="minorHAnsi" w:hAnsiTheme="minorHAnsi"/>
        </w:rPr>
      </w:pPr>
      <w:r>
        <w:rPr>
          <w:rFonts w:asciiTheme="minorHAnsi" w:hAnsiTheme="minorHAnsi"/>
        </w:rPr>
        <w:t xml:space="preserve">Communicating </w:t>
      </w:r>
      <w:r w:rsidRPr="00BF0A8B">
        <w:rPr>
          <w:rFonts w:asciiTheme="minorHAnsi" w:hAnsiTheme="minorHAnsi"/>
        </w:rPr>
        <w:t>effectively to raise the awareness and understanding of prescribers</w:t>
      </w:r>
      <w:r w:rsidR="008F7B86">
        <w:rPr>
          <w:rFonts w:asciiTheme="minorHAnsi" w:hAnsiTheme="minorHAnsi"/>
        </w:rPr>
        <w:t>,</w:t>
      </w:r>
      <w:r w:rsidRPr="00BF0A8B">
        <w:rPr>
          <w:rFonts w:asciiTheme="minorHAnsi" w:hAnsiTheme="minorHAnsi"/>
        </w:rPr>
        <w:t xml:space="preserve"> dispensers</w:t>
      </w:r>
      <w:r w:rsidR="008F7B86">
        <w:rPr>
          <w:rFonts w:asciiTheme="minorHAnsi" w:hAnsiTheme="minorHAnsi"/>
        </w:rPr>
        <w:t>,</w:t>
      </w:r>
      <w:r w:rsidRPr="00BF0A8B">
        <w:rPr>
          <w:rFonts w:asciiTheme="minorHAnsi" w:hAnsiTheme="minorHAnsi"/>
        </w:rPr>
        <w:t xml:space="preserve"> </w:t>
      </w:r>
      <w:r w:rsidR="008F7B86">
        <w:rPr>
          <w:rFonts w:asciiTheme="minorHAnsi" w:hAnsiTheme="minorHAnsi"/>
        </w:rPr>
        <w:t xml:space="preserve">and other key professional groups </w:t>
      </w:r>
      <w:r w:rsidRPr="00BF0A8B">
        <w:rPr>
          <w:rFonts w:asciiTheme="minorHAnsi" w:hAnsiTheme="minorHAnsi"/>
        </w:rPr>
        <w:t>across human health and</w:t>
      </w:r>
      <w:r w:rsidR="00DA5989">
        <w:rPr>
          <w:rFonts w:asciiTheme="minorHAnsi" w:hAnsiTheme="minorHAnsi"/>
        </w:rPr>
        <w:t xml:space="preserve"> animal health, farmers and the general public about AMR</w:t>
      </w:r>
      <w:r w:rsidRPr="00BF0A8B">
        <w:rPr>
          <w:rFonts w:asciiTheme="minorHAnsi" w:hAnsiTheme="minorHAnsi"/>
        </w:rPr>
        <w:t xml:space="preserve"> </w:t>
      </w:r>
      <w:r w:rsidR="005713A0">
        <w:rPr>
          <w:rFonts w:asciiTheme="minorHAnsi" w:hAnsiTheme="minorHAnsi"/>
        </w:rPr>
        <w:t xml:space="preserve">is an important first step to creating an enabling environment for behaviour change. </w:t>
      </w:r>
      <w:r w:rsidR="00196A97" w:rsidRPr="00BF0A8B">
        <w:rPr>
          <w:rFonts w:asciiTheme="minorHAnsi" w:hAnsiTheme="minorHAnsi"/>
        </w:rPr>
        <w:t xml:space="preserve">Effective communication, education and training will improve understanding </w:t>
      </w:r>
      <w:r w:rsidR="00A73F08" w:rsidRPr="00BF0A8B">
        <w:rPr>
          <w:rFonts w:asciiTheme="minorHAnsi" w:hAnsiTheme="minorHAnsi"/>
        </w:rPr>
        <w:t>of the causes and effects of AMR, support more informed clinical decision-making and judicious antibiotic prescribing and use, and assist in influencing behaviours that minimise the spread of resistant organisms.</w:t>
      </w:r>
    </w:p>
    <w:p w:rsidR="005713A0" w:rsidRDefault="005713A0" w:rsidP="00646A64">
      <w:pPr>
        <w:rPr>
          <w:rFonts w:asciiTheme="minorHAnsi" w:hAnsiTheme="minorHAnsi"/>
        </w:rPr>
      </w:pPr>
    </w:p>
    <w:p w:rsidR="00646A64" w:rsidRPr="004146B6" w:rsidRDefault="002B63B6" w:rsidP="00445D1A">
      <w:pPr>
        <w:pStyle w:val="Heading3"/>
      </w:pPr>
      <w:r w:rsidRPr="004146B6">
        <w:t>What have we achieved?</w:t>
      </w:r>
    </w:p>
    <w:p w:rsidR="000668D3" w:rsidRPr="00445D1A" w:rsidRDefault="000668D3" w:rsidP="00445D1A">
      <w:pPr>
        <w:pStyle w:val="Heading4"/>
      </w:pPr>
      <w:r w:rsidRPr="00445D1A">
        <w:t>One Health</w:t>
      </w:r>
    </w:p>
    <w:p w:rsidR="000668D3" w:rsidRDefault="000668D3" w:rsidP="00FD2FB6">
      <w:pPr>
        <w:pStyle w:val="ListParagraph"/>
        <w:numPr>
          <w:ilvl w:val="0"/>
          <w:numId w:val="14"/>
        </w:numPr>
        <w:spacing w:before="120" w:after="120"/>
        <w:ind w:left="714" w:hanging="357"/>
        <w:contextualSpacing w:val="0"/>
        <w:rPr>
          <w:rFonts w:asciiTheme="minorHAnsi" w:eastAsia="Calibri" w:hAnsiTheme="minorHAnsi" w:cs="Arial"/>
          <w:lang w:val="en-GB" w:eastAsia="en-GB"/>
        </w:rPr>
      </w:pPr>
      <w:r w:rsidRPr="00BE3EB2">
        <w:rPr>
          <w:rFonts w:asciiTheme="minorHAnsi" w:eastAsia="Calibri" w:hAnsiTheme="minorHAnsi" w:cs="Arial"/>
          <w:lang w:val="en-GB" w:eastAsia="en-GB"/>
        </w:rPr>
        <w:t>The Aust</w:t>
      </w:r>
      <w:r w:rsidR="00422660">
        <w:rPr>
          <w:rFonts w:asciiTheme="minorHAnsi" w:eastAsia="Calibri" w:hAnsiTheme="minorHAnsi" w:cs="Arial"/>
          <w:lang w:val="en-GB" w:eastAsia="en-GB"/>
        </w:rPr>
        <w:t>ralian Government, through the d</w:t>
      </w:r>
      <w:r w:rsidRPr="00BE3EB2">
        <w:rPr>
          <w:rFonts w:asciiTheme="minorHAnsi" w:eastAsia="Calibri" w:hAnsiTheme="minorHAnsi" w:cs="Arial"/>
          <w:lang w:val="en-GB" w:eastAsia="en-GB"/>
        </w:rPr>
        <w:t>epartment</w:t>
      </w:r>
      <w:r w:rsidR="00A57F19" w:rsidRPr="00BE3EB2">
        <w:rPr>
          <w:rFonts w:asciiTheme="minorHAnsi" w:eastAsia="Calibri" w:hAnsiTheme="minorHAnsi" w:cs="Arial"/>
          <w:lang w:val="en-GB" w:eastAsia="en-GB"/>
        </w:rPr>
        <w:t>s</w:t>
      </w:r>
      <w:r w:rsidRPr="00BE3EB2">
        <w:rPr>
          <w:rFonts w:asciiTheme="minorHAnsi" w:eastAsia="Calibri" w:hAnsiTheme="minorHAnsi" w:cs="Arial"/>
          <w:lang w:val="en-GB" w:eastAsia="en-GB"/>
        </w:rPr>
        <w:t xml:space="preserve"> of Health and Agriculture and Water Resources, has developed a </w:t>
      </w:r>
      <w:r w:rsidR="00A57F19" w:rsidRPr="00BE3EB2">
        <w:rPr>
          <w:rFonts w:asciiTheme="minorHAnsi" w:eastAsia="Calibri" w:hAnsiTheme="minorHAnsi" w:cs="Arial"/>
          <w:lang w:val="en-GB" w:eastAsia="en-GB"/>
        </w:rPr>
        <w:t xml:space="preserve">One Health </w:t>
      </w:r>
      <w:r w:rsidRPr="00BE3EB2">
        <w:rPr>
          <w:rFonts w:asciiTheme="minorHAnsi" w:eastAsia="Calibri" w:hAnsiTheme="minorHAnsi" w:cs="Arial"/>
          <w:lang w:val="en-GB" w:eastAsia="en-GB"/>
        </w:rPr>
        <w:t xml:space="preserve">AMR </w:t>
      </w:r>
      <w:r w:rsidR="00EC06CC">
        <w:rPr>
          <w:rFonts w:asciiTheme="minorHAnsi" w:eastAsia="Calibri" w:hAnsiTheme="minorHAnsi" w:cs="Arial"/>
          <w:lang w:val="en-GB" w:eastAsia="en-GB"/>
        </w:rPr>
        <w:t>w</w:t>
      </w:r>
      <w:r w:rsidRPr="00BE3EB2">
        <w:rPr>
          <w:rFonts w:asciiTheme="minorHAnsi" w:eastAsia="Calibri" w:hAnsiTheme="minorHAnsi" w:cs="Arial"/>
          <w:lang w:val="en-GB" w:eastAsia="en-GB"/>
        </w:rPr>
        <w:t xml:space="preserve">ebsite. The </w:t>
      </w:r>
      <w:bookmarkStart w:id="7" w:name="_Hlk497920730"/>
      <w:r w:rsidR="00EC06CC">
        <w:rPr>
          <w:rFonts w:asciiTheme="minorHAnsi" w:eastAsia="Calibri" w:hAnsiTheme="minorHAnsi" w:cs="Arial"/>
          <w:lang w:val="en-GB" w:eastAsia="en-GB"/>
        </w:rPr>
        <w:fldChar w:fldCharType="begin"/>
      </w:r>
      <w:r w:rsidR="00EC06CC">
        <w:rPr>
          <w:rFonts w:asciiTheme="minorHAnsi" w:eastAsia="Calibri" w:hAnsiTheme="minorHAnsi" w:cs="Arial"/>
          <w:lang w:val="en-GB" w:eastAsia="en-GB"/>
        </w:rPr>
        <w:instrText>HYPERLINK "http://www.amr.gov.au/"</w:instrText>
      </w:r>
      <w:r w:rsidR="00EC06CC">
        <w:rPr>
          <w:rFonts w:asciiTheme="minorHAnsi" w:eastAsia="Calibri" w:hAnsiTheme="minorHAnsi" w:cs="Arial"/>
          <w:lang w:val="en-GB" w:eastAsia="en-GB"/>
        </w:rPr>
        <w:fldChar w:fldCharType="separate"/>
      </w:r>
      <w:r w:rsidR="00EC06CC" w:rsidRPr="00EC06CC">
        <w:rPr>
          <w:rStyle w:val="Hyperlink"/>
          <w:rFonts w:asciiTheme="minorHAnsi" w:eastAsia="Calibri" w:hAnsiTheme="minorHAnsi" w:cs="Arial"/>
          <w:lang w:val="en-GB" w:eastAsia="en-GB"/>
        </w:rPr>
        <w:t>Australian Government's AMR website</w:t>
      </w:r>
      <w:r w:rsidR="00EC06CC">
        <w:rPr>
          <w:rFonts w:asciiTheme="minorHAnsi" w:eastAsia="Calibri" w:hAnsiTheme="minorHAnsi" w:cs="Arial"/>
          <w:lang w:val="en-GB" w:eastAsia="en-GB"/>
        </w:rPr>
        <w:fldChar w:fldCharType="end"/>
      </w:r>
      <w:bookmarkEnd w:id="7"/>
      <w:r w:rsidR="00EC06CC">
        <w:rPr>
          <w:rFonts w:asciiTheme="minorHAnsi" w:eastAsia="Calibri" w:hAnsiTheme="minorHAnsi" w:cs="Arial"/>
          <w:lang w:val="en-GB" w:eastAsia="en-GB"/>
        </w:rPr>
        <w:t xml:space="preserve"> (</w:t>
      </w:r>
      <w:r w:rsidR="00EC06CC" w:rsidRPr="00EC06CC">
        <w:rPr>
          <w:rFonts w:asciiTheme="minorHAnsi" w:hAnsiTheme="minorHAnsi"/>
        </w:rPr>
        <w:t>www.amr.gov.au</w:t>
      </w:r>
      <w:r w:rsidR="00EC06CC">
        <w:rPr>
          <w:rFonts w:asciiTheme="minorHAnsi" w:eastAsia="Calibri" w:hAnsiTheme="minorHAnsi" w:cs="Arial"/>
          <w:lang w:val="en-GB" w:eastAsia="en-GB"/>
        </w:rPr>
        <w:t>)</w:t>
      </w:r>
      <w:r w:rsidRPr="00BE3EB2">
        <w:rPr>
          <w:rFonts w:asciiTheme="minorHAnsi" w:eastAsia="Calibri" w:hAnsiTheme="minorHAnsi" w:cs="Arial"/>
          <w:lang w:val="en-GB" w:eastAsia="en-GB"/>
        </w:rPr>
        <w:t xml:space="preserve"> contain</w:t>
      </w:r>
      <w:r w:rsidR="0069656E">
        <w:rPr>
          <w:rFonts w:asciiTheme="minorHAnsi" w:eastAsia="Calibri" w:hAnsiTheme="minorHAnsi" w:cs="Arial"/>
          <w:lang w:val="en-GB" w:eastAsia="en-GB"/>
        </w:rPr>
        <w:t>s</w:t>
      </w:r>
      <w:r w:rsidRPr="00BE3EB2">
        <w:rPr>
          <w:rFonts w:asciiTheme="minorHAnsi" w:eastAsia="Calibri" w:hAnsiTheme="minorHAnsi" w:cs="Arial"/>
          <w:lang w:val="en-GB" w:eastAsia="en-GB"/>
        </w:rPr>
        <w:t xml:space="preserve"> resources and information about AMR relating to human </w:t>
      </w:r>
      <w:r w:rsidR="008264EC" w:rsidRPr="00BE3EB2">
        <w:rPr>
          <w:rFonts w:asciiTheme="minorHAnsi" w:eastAsia="Calibri" w:hAnsiTheme="minorHAnsi" w:cs="Arial"/>
          <w:lang w:val="en-GB" w:eastAsia="en-GB"/>
        </w:rPr>
        <w:t>and</w:t>
      </w:r>
      <w:r w:rsidRPr="00BE3EB2">
        <w:rPr>
          <w:rFonts w:asciiTheme="minorHAnsi" w:eastAsia="Calibri" w:hAnsiTheme="minorHAnsi" w:cs="Arial"/>
          <w:lang w:val="en-GB" w:eastAsia="en-GB"/>
        </w:rPr>
        <w:t xml:space="preserve"> animal health, agriculture</w:t>
      </w:r>
      <w:r w:rsidR="008264EC" w:rsidRPr="00BE3EB2">
        <w:rPr>
          <w:rFonts w:asciiTheme="minorHAnsi" w:eastAsia="Calibri" w:hAnsiTheme="minorHAnsi" w:cs="Arial"/>
          <w:lang w:val="en-GB" w:eastAsia="en-GB"/>
        </w:rPr>
        <w:t xml:space="preserve"> </w:t>
      </w:r>
      <w:r w:rsidRPr="00BE3EB2">
        <w:rPr>
          <w:rFonts w:asciiTheme="minorHAnsi" w:eastAsia="Calibri" w:hAnsiTheme="minorHAnsi" w:cs="Arial"/>
          <w:lang w:val="en-GB" w:eastAsia="en-GB"/>
        </w:rPr>
        <w:t xml:space="preserve">and the general public. </w:t>
      </w:r>
      <w:r w:rsidR="00B37F4C">
        <w:rPr>
          <w:rFonts w:asciiTheme="minorHAnsi" w:hAnsiTheme="minorHAnsi"/>
        </w:rPr>
        <w:t>T</w:t>
      </w:r>
      <w:r w:rsidR="00B37F4C" w:rsidRPr="00FA777B">
        <w:rPr>
          <w:rFonts w:asciiTheme="minorHAnsi" w:hAnsiTheme="minorHAnsi"/>
        </w:rPr>
        <w:t xml:space="preserve">he website </w:t>
      </w:r>
      <w:r w:rsidR="0069656E">
        <w:rPr>
          <w:rFonts w:asciiTheme="minorHAnsi" w:hAnsiTheme="minorHAnsi"/>
        </w:rPr>
        <w:t>include</w:t>
      </w:r>
      <w:r w:rsidR="00B37F4C">
        <w:rPr>
          <w:rFonts w:asciiTheme="minorHAnsi" w:hAnsiTheme="minorHAnsi"/>
        </w:rPr>
        <w:t>s</w:t>
      </w:r>
      <w:r w:rsidR="00B37F4C" w:rsidRPr="00FA777B">
        <w:rPr>
          <w:rFonts w:asciiTheme="minorHAnsi" w:hAnsiTheme="minorHAnsi"/>
        </w:rPr>
        <w:t xml:space="preserve"> a feedback/enquiries option where stakeholders can ask questions or provide detail</w:t>
      </w:r>
      <w:r w:rsidR="0069656E">
        <w:rPr>
          <w:rFonts w:asciiTheme="minorHAnsi" w:hAnsiTheme="minorHAnsi"/>
        </w:rPr>
        <w:t>s</w:t>
      </w:r>
      <w:r w:rsidR="00B37F4C" w:rsidRPr="00FA777B">
        <w:rPr>
          <w:rFonts w:asciiTheme="minorHAnsi" w:hAnsiTheme="minorHAnsi"/>
        </w:rPr>
        <w:t xml:space="preserve"> of projects or initiatives.</w:t>
      </w:r>
    </w:p>
    <w:p w:rsidR="00F9267A" w:rsidRPr="001E08BF" w:rsidRDefault="00F9267A" w:rsidP="00F9267A">
      <w:pPr>
        <w:pStyle w:val="ListParagraph"/>
        <w:numPr>
          <w:ilvl w:val="0"/>
          <w:numId w:val="14"/>
        </w:numPr>
        <w:spacing w:after="120"/>
        <w:contextualSpacing w:val="0"/>
        <w:rPr>
          <w:rFonts w:asciiTheme="minorHAnsi" w:hAnsiTheme="minorHAnsi" w:cs="Arial"/>
        </w:rPr>
      </w:pPr>
      <w:r w:rsidRPr="001E08BF">
        <w:rPr>
          <w:rFonts w:asciiTheme="minorHAnsi" w:hAnsiTheme="minorHAnsi"/>
        </w:rPr>
        <w:t>Continued participation in the annual Antibiotic Awareness Week (AAW) has increased the profile of AMR and the importance of appropriate prescribing and use of antibiotics in human hospitals, vet</w:t>
      </w:r>
      <w:r w:rsidR="0069656E">
        <w:rPr>
          <w:rFonts w:asciiTheme="minorHAnsi" w:hAnsiTheme="minorHAnsi"/>
        </w:rPr>
        <w:t>erinary</w:t>
      </w:r>
      <w:r w:rsidRPr="001E08BF">
        <w:rPr>
          <w:rFonts w:asciiTheme="minorHAnsi" w:hAnsiTheme="minorHAnsi"/>
        </w:rPr>
        <w:t xml:space="preserve"> clinics, on-farm, and in the community.</w:t>
      </w:r>
      <w:r>
        <w:rPr>
          <w:rFonts w:asciiTheme="minorHAnsi" w:hAnsiTheme="minorHAnsi"/>
        </w:rPr>
        <w:t xml:space="preserve"> </w:t>
      </w:r>
      <w:r w:rsidRPr="001E08BF">
        <w:rPr>
          <w:rFonts w:asciiTheme="minorHAnsi" w:hAnsiTheme="minorHAnsi" w:cs="Arial"/>
        </w:rPr>
        <w:t xml:space="preserve">AAW is led by the Australian Commission on Safety and Quality in Health Care and is supported by the Australian Government Department of Health, the Department of Agriculture and Water Resources, </w:t>
      </w:r>
      <w:r>
        <w:rPr>
          <w:rFonts w:asciiTheme="minorHAnsi" w:hAnsiTheme="minorHAnsi" w:cs="Arial"/>
        </w:rPr>
        <w:t xml:space="preserve">states and territories, </w:t>
      </w:r>
      <w:r w:rsidRPr="001E08BF">
        <w:rPr>
          <w:rFonts w:asciiTheme="minorHAnsi" w:hAnsiTheme="minorHAnsi" w:cs="Arial"/>
        </w:rPr>
        <w:t>NPS Medicine</w:t>
      </w:r>
      <w:r w:rsidR="00EA13C7">
        <w:rPr>
          <w:rFonts w:asciiTheme="minorHAnsi" w:hAnsiTheme="minorHAnsi" w:cs="Arial"/>
        </w:rPr>
        <w:t>W</w:t>
      </w:r>
      <w:r w:rsidRPr="001E08BF">
        <w:rPr>
          <w:rFonts w:asciiTheme="minorHAnsi" w:hAnsiTheme="minorHAnsi" w:cs="Arial"/>
        </w:rPr>
        <w:t xml:space="preserve">ise, the Australian Veterinary Association, and other organisations </w:t>
      </w:r>
      <w:r w:rsidR="0069656E">
        <w:rPr>
          <w:rFonts w:asciiTheme="minorHAnsi" w:hAnsiTheme="minorHAnsi" w:cs="Arial"/>
        </w:rPr>
        <w:t>committed to</w:t>
      </w:r>
      <w:r>
        <w:rPr>
          <w:rFonts w:asciiTheme="minorHAnsi" w:hAnsiTheme="minorHAnsi" w:cs="Arial"/>
        </w:rPr>
        <w:t xml:space="preserve"> reducing AMR.</w:t>
      </w:r>
    </w:p>
    <w:p w:rsidR="000668D3" w:rsidRDefault="00290724" w:rsidP="00BE3EB2">
      <w:pPr>
        <w:pStyle w:val="ListParagraph"/>
        <w:numPr>
          <w:ilvl w:val="0"/>
          <w:numId w:val="14"/>
        </w:numPr>
        <w:spacing w:after="120"/>
        <w:contextualSpacing w:val="0"/>
        <w:rPr>
          <w:rFonts w:asciiTheme="minorHAnsi" w:eastAsia="Calibri" w:hAnsiTheme="minorHAnsi" w:cs="Arial"/>
          <w:lang w:val="en-GB" w:eastAsia="en-GB"/>
        </w:rPr>
      </w:pPr>
      <w:r w:rsidRPr="00BE3EB2">
        <w:rPr>
          <w:rFonts w:asciiTheme="minorHAnsi" w:eastAsia="Calibri" w:hAnsiTheme="minorHAnsi" w:cs="Arial"/>
          <w:lang w:val="en-GB" w:eastAsia="en-GB"/>
        </w:rPr>
        <w:t>The National Centre for Antimicrobial Stewardship</w:t>
      </w:r>
      <w:r w:rsidR="000668D3" w:rsidRPr="00BE3EB2">
        <w:rPr>
          <w:rFonts w:asciiTheme="minorHAnsi" w:eastAsia="Calibri" w:hAnsiTheme="minorHAnsi" w:cs="Arial"/>
          <w:lang w:val="en-GB" w:eastAsia="en-GB"/>
        </w:rPr>
        <w:t xml:space="preserve"> has developed antimicrobial prescribing guidelines for companion animal, bovine and equine veterinary practices, as well as guidelines </w:t>
      </w:r>
      <w:r w:rsidR="00B0492D" w:rsidRPr="00BE3EB2">
        <w:rPr>
          <w:rFonts w:asciiTheme="minorHAnsi" w:eastAsia="Calibri" w:hAnsiTheme="minorHAnsi" w:cs="Arial"/>
          <w:lang w:val="en-GB" w:eastAsia="en-GB"/>
        </w:rPr>
        <w:t xml:space="preserve">and educational material </w:t>
      </w:r>
      <w:r w:rsidR="000668D3" w:rsidRPr="00BE3EB2">
        <w:rPr>
          <w:rFonts w:asciiTheme="minorHAnsi" w:eastAsia="Calibri" w:hAnsiTheme="minorHAnsi" w:cs="Arial"/>
          <w:lang w:val="en-GB" w:eastAsia="en-GB"/>
        </w:rPr>
        <w:t>for the establishment of antimicrobial stewardship programs at veterinary practices.</w:t>
      </w:r>
    </w:p>
    <w:p w:rsidR="00F37109" w:rsidRDefault="000668D3" w:rsidP="00BE3EB2">
      <w:pPr>
        <w:pStyle w:val="ListParagraph"/>
        <w:numPr>
          <w:ilvl w:val="0"/>
          <w:numId w:val="14"/>
        </w:numPr>
        <w:spacing w:after="120"/>
        <w:contextualSpacing w:val="0"/>
        <w:rPr>
          <w:rFonts w:asciiTheme="minorHAnsi" w:eastAsia="Calibri" w:hAnsiTheme="minorHAnsi" w:cs="Arial"/>
          <w:lang w:val="en-GB" w:eastAsia="en-GB"/>
        </w:rPr>
      </w:pPr>
      <w:r w:rsidRPr="00BE3EB2">
        <w:rPr>
          <w:rFonts w:asciiTheme="minorHAnsi" w:eastAsia="Calibri" w:hAnsiTheme="minorHAnsi" w:cs="Arial"/>
          <w:lang w:val="en-GB" w:eastAsia="en-GB"/>
        </w:rPr>
        <w:t xml:space="preserve">The University of Sydney has conducted an online survey of more than 500 medical practitioners, 400 veterinarians, and 350 dentists around Australia </w:t>
      </w:r>
      <w:r w:rsidR="00A57F19" w:rsidRPr="00BE3EB2">
        <w:rPr>
          <w:rFonts w:asciiTheme="minorHAnsi" w:eastAsia="Calibri" w:hAnsiTheme="minorHAnsi" w:cs="Arial"/>
          <w:lang w:val="en-GB" w:eastAsia="en-GB"/>
        </w:rPr>
        <w:t xml:space="preserve">on </w:t>
      </w:r>
      <w:r w:rsidRPr="00BE3EB2">
        <w:rPr>
          <w:rFonts w:asciiTheme="minorHAnsi" w:eastAsia="Calibri" w:hAnsiTheme="minorHAnsi" w:cs="Arial"/>
          <w:lang w:val="en-GB" w:eastAsia="en-GB"/>
        </w:rPr>
        <w:t xml:space="preserve">their knowledge of and perceptions towards antibiotic resistance and the barriers to appropriate prescribing of antibiotics and </w:t>
      </w:r>
      <w:r w:rsidR="00B0492D">
        <w:rPr>
          <w:rFonts w:asciiTheme="minorHAnsi" w:eastAsia="Calibri" w:hAnsiTheme="minorHAnsi" w:cs="Arial"/>
          <w:lang w:val="en-GB" w:eastAsia="en-GB"/>
        </w:rPr>
        <w:t xml:space="preserve">the </w:t>
      </w:r>
      <w:r w:rsidRPr="00BE3EB2">
        <w:rPr>
          <w:rFonts w:asciiTheme="minorHAnsi" w:eastAsia="Calibri" w:hAnsiTheme="minorHAnsi" w:cs="Arial"/>
          <w:lang w:val="en-GB" w:eastAsia="en-GB"/>
        </w:rPr>
        <w:t>achiev</w:t>
      </w:r>
      <w:r w:rsidR="00B0492D">
        <w:rPr>
          <w:rFonts w:asciiTheme="minorHAnsi" w:eastAsia="Calibri" w:hAnsiTheme="minorHAnsi" w:cs="Arial"/>
          <w:lang w:val="en-GB" w:eastAsia="en-GB"/>
        </w:rPr>
        <w:t>ement of</w:t>
      </w:r>
      <w:r w:rsidRPr="00BE3EB2">
        <w:rPr>
          <w:rFonts w:asciiTheme="minorHAnsi" w:eastAsia="Calibri" w:hAnsiTheme="minorHAnsi" w:cs="Arial"/>
          <w:lang w:val="en-GB" w:eastAsia="en-GB"/>
        </w:rPr>
        <w:t xml:space="preserve"> effective management of antibiotic resistance. </w:t>
      </w:r>
      <w:r w:rsidR="00061B3D" w:rsidRPr="00BE3EB2">
        <w:rPr>
          <w:rFonts w:asciiTheme="minorHAnsi" w:eastAsia="Calibri" w:hAnsiTheme="minorHAnsi" w:cs="Arial"/>
          <w:lang w:val="en-GB" w:eastAsia="en-GB"/>
        </w:rPr>
        <w:t>I</w:t>
      </w:r>
      <w:r w:rsidRPr="00BE3EB2">
        <w:rPr>
          <w:rFonts w:asciiTheme="minorHAnsi" w:eastAsia="Calibri" w:hAnsiTheme="minorHAnsi" w:cs="Arial"/>
          <w:lang w:val="en-GB" w:eastAsia="en-GB"/>
        </w:rPr>
        <w:t xml:space="preserve">nsights into effective strategies </w:t>
      </w:r>
      <w:r w:rsidR="00061B3D" w:rsidRPr="00BE3EB2">
        <w:rPr>
          <w:rFonts w:asciiTheme="minorHAnsi" w:eastAsia="Calibri" w:hAnsiTheme="minorHAnsi" w:cs="Arial"/>
          <w:lang w:val="en-GB" w:eastAsia="en-GB"/>
        </w:rPr>
        <w:t xml:space="preserve">are offered </w:t>
      </w:r>
      <w:r w:rsidRPr="00BE3EB2">
        <w:rPr>
          <w:rFonts w:asciiTheme="minorHAnsi" w:eastAsia="Calibri" w:hAnsiTheme="minorHAnsi" w:cs="Arial"/>
          <w:lang w:val="en-GB" w:eastAsia="en-GB"/>
        </w:rPr>
        <w:t>to increas</w:t>
      </w:r>
      <w:r w:rsidR="00061B3D" w:rsidRPr="00BE3EB2">
        <w:rPr>
          <w:rFonts w:asciiTheme="minorHAnsi" w:eastAsia="Calibri" w:hAnsiTheme="minorHAnsi" w:cs="Arial"/>
          <w:lang w:val="en-GB" w:eastAsia="en-GB"/>
        </w:rPr>
        <w:t>e</w:t>
      </w:r>
      <w:r w:rsidRPr="00BE3EB2">
        <w:rPr>
          <w:rFonts w:asciiTheme="minorHAnsi" w:eastAsia="Calibri" w:hAnsiTheme="minorHAnsi" w:cs="Arial"/>
          <w:lang w:val="en-GB" w:eastAsia="en-GB"/>
        </w:rPr>
        <w:t xml:space="preserve"> </w:t>
      </w:r>
      <w:r w:rsidR="00061B3D" w:rsidRPr="00BE3EB2">
        <w:rPr>
          <w:rFonts w:asciiTheme="minorHAnsi" w:eastAsia="Calibri" w:hAnsiTheme="minorHAnsi" w:cs="Arial"/>
          <w:lang w:val="en-GB" w:eastAsia="en-GB"/>
        </w:rPr>
        <w:t xml:space="preserve">AMR </w:t>
      </w:r>
      <w:r w:rsidRPr="00BE3EB2">
        <w:rPr>
          <w:rFonts w:asciiTheme="minorHAnsi" w:eastAsia="Calibri" w:hAnsiTheme="minorHAnsi" w:cs="Arial"/>
          <w:lang w:val="en-GB" w:eastAsia="en-GB"/>
        </w:rPr>
        <w:t>awareness and improv</w:t>
      </w:r>
      <w:r w:rsidR="00061B3D" w:rsidRPr="00BE3EB2">
        <w:rPr>
          <w:rFonts w:asciiTheme="minorHAnsi" w:eastAsia="Calibri" w:hAnsiTheme="minorHAnsi" w:cs="Arial"/>
          <w:lang w:val="en-GB" w:eastAsia="en-GB"/>
        </w:rPr>
        <w:t>e</w:t>
      </w:r>
      <w:r w:rsidRPr="00BE3EB2">
        <w:rPr>
          <w:rFonts w:asciiTheme="minorHAnsi" w:eastAsia="Calibri" w:hAnsiTheme="minorHAnsi" w:cs="Arial"/>
          <w:lang w:val="en-GB" w:eastAsia="en-GB"/>
        </w:rPr>
        <w:t xml:space="preserve"> prescribing practices through a One Healt</w:t>
      </w:r>
      <w:r w:rsidR="008264EC" w:rsidRPr="00BE3EB2">
        <w:rPr>
          <w:rFonts w:asciiTheme="minorHAnsi" w:eastAsia="Calibri" w:hAnsiTheme="minorHAnsi" w:cs="Arial"/>
          <w:lang w:val="en-GB" w:eastAsia="en-GB"/>
        </w:rPr>
        <w:t>h approach.</w:t>
      </w:r>
    </w:p>
    <w:p w:rsidR="00F37109" w:rsidRDefault="00F37109">
      <w:pPr>
        <w:rPr>
          <w:rFonts w:asciiTheme="minorHAnsi" w:eastAsia="Calibri" w:hAnsiTheme="minorHAnsi" w:cs="Arial"/>
          <w:lang w:val="en-GB" w:eastAsia="en-GB"/>
        </w:rPr>
      </w:pPr>
      <w:r>
        <w:rPr>
          <w:rFonts w:asciiTheme="minorHAnsi" w:eastAsia="Calibri" w:hAnsiTheme="minorHAnsi" w:cs="Arial"/>
          <w:lang w:val="en-GB" w:eastAsia="en-GB"/>
        </w:rPr>
        <w:br w:type="page"/>
      </w:r>
    </w:p>
    <w:p w:rsidR="000668D3" w:rsidRDefault="000668D3" w:rsidP="0008579C">
      <w:pPr>
        <w:pStyle w:val="ListParagraph"/>
        <w:numPr>
          <w:ilvl w:val="0"/>
          <w:numId w:val="14"/>
        </w:numPr>
        <w:spacing w:after="120"/>
        <w:contextualSpacing w:val="0"/>
        <w:rPr>
          <w:rFonts w:asciiTheme="minorHAnsi" w:eastAsia="Calibri" w:hAnsiTheme="minorHAnsi" w:cs="Arial"/>
          <w:lang w:val="en-GB" w:eastAsia="en-GB"/>
        </w:rPr>
      </w:pPr>
      <w:r w:rsidRPr="00BE3EB2">
        <w:rPr>
          <w:rFonts w:asciiTheme="minorHAnsi" w:eastAsia="Calibri" w:hAnsiTheme="minorHAnsi" w:cs="Arial"/>
          <w:lang w:val="en-GB" w:eastAsia="en-GB"/>
        </w:rPr>
        <w:lastRenderedPageBreak/>
        <w:t>The University of Sydney has also completed a project on convening two Citizens’ Juries to deliberate on the feasibility and fairness of introducing different mechanisms to change consum</w:t>
      </w:r>
      <w:r w:rsidR="00F37934">
        <w:rPr>
          <w:rFonts w:asciiTheme="minorHAnsi" w:eastAsia="Calibri" w:hAnsiTheme="minorHAnsi" w:cs="Arial"/>
          <w:lang w:val="en-GB" w:eastAsia="en-GB"/>
        </w:rPr>
        <w:t>er and prescriber behaviour. This</w:t>
      </w:r>
      <w:r w:rsidRPr="00BE3EB2">
        <w:rPr>
          <w:rFonts w:asciiTheme="minorHAnsi" w:eastAsia="Calibri" w:hAnsiTheme="minorHAnsi" w:cs="Arial"/>
          <w:lang w:val="en-GB" w:eastAsia="en-GB"/>
        </w:rPr>
        <w:t xml:space="preserve"> paper has been published</w:t>
      </w:r>
      <w:r w:rsidRPr="00191BC3">
        <w:rPr>
          <w:rFonts w:eastAsia="Calibri"/>
          <w:vertAlign w:val="superscript"/>
          <w:lang w:val="en-GB" w:eastAsia="en-GB"/>
        </w:rPr>
        <w:footnoteReference w:id="1"/>
      </w:r>
      <w:r w:rsidRPr="00BE3EB2">
        <w:rPr>
          <w:rFonts w:asciiTheme="minorHAnsi" w:eastAsia="Calibri" w:hAnsiTheme="minorHAnsi" w:cs="Arial"/>
          <w:lang w:val="en-GB" w:eastAsia="en-GB"/>
        </w:rPr>
        <w:t>.</w:t>
      </w:r>
    </w:p>
    <w:p w:rsidR="00BE3EB2" w:rsidRPr="00BE3EB2" w:rsidRDefault="000668D3" w:rsidP="0008579C">
      <w:pPr>
        <w:pStyle w:val="ListParagraph"/>
        <w:numPr>
          <w:ilvl w:val="0"/>
          <w:numId w:val="14"/>
        </w:numPr>
        <w:spacing w:after="120"/>
        <w:contextualSpacing w:val="0"/>
        <w:rPr>
          <w:rFonts w:asciiTheme="minorHAnsi" w:eastAsia="Calibri" w:hAnsiTheme="minorHAnsi" w:cs="Arial"/>
          <w:lang w:val="en-GB" w:eastAsia="en-GB"/>
        </w:rPr>
      </w:pPr>
      <w:r w:rsidRPr="00BE3EB2">
        <w:rPr>
          <w:rFonts w:asciiTheme="minorHAnsi" w:eastAsia="Calibri" w:hAnsiTheme="minorHAnsi" w:cs="Arial"/>
          <w:lang w:val="en-GB" w:eastAsia="en-GB"/>
        </w:rPr>
        <w:t xml:space="preserve">Wildlife Health Australia (WHA) has developed a </w:t>
      </w:r>
      <w:r w:rsidR="00061B3D" w:rsidRPr="00BE3EB2">
        <w:rPr>
          <w:rFonts w:asciiTheme="minorHAnsi" w:eastAsia="Calibri" w:hAnsiTheme="minorHAnsi" w:cs="Arial"/>
          <w:lang w:val="en-GB" w:eastAsia="en-GB"/>
        </w:rPr>
        <w:t xml:space="preserve">new </w:t>
      </w:r>
      <w:r w:rsidRPr="00BE3EB2">
        <w:rPr>
          <w:rFonts w:asciiTheme="minorHAnsi" w:eastAsia="Calibri" w:hAnsiTheme="minorHAnsi" w:cs="Arial"/>
          <w:lang w:val="en-GB" w:eastAsia="en-GB"/>
        </w:rPr>
        <w:t xml:space="preserve">fact sheet on AMR and wildlife, which is available on the </w:t>
      </w:r>
      <w:hyperlink r:id="rId13" w:history="1">
        <w:r w:rsidRPr="00EC06CC">
          <w:rPr>
            <w:rStyle w:val="Hyperlink"/>
            <w:rFonts w:asciiTheme="minorHAnsi" w:eastAsia="Calibri" w:hAnsiTheme="minorHAnsi" w:cs="Arial"/>
            <w:lang w:val="en-GB" w:eastAsia="en-GB"/>
          </w:rPr>
          <w:t>WHA website</w:t>
        </w:r>
      </w:hyperlink>
      <w:r w:rsidRPr="00BE3EB2">
        <w:rPr>
          <w:rFonts w:asciiTheme="minorHAnsi" w:eastAsia="Calibri" w:hAnsiTheme="minorHAnsi" w:cs="Arial"/>
          <w:lang w:val="en-GB" w:eastAsia="en-GB"/>
        </w:rPr>
        <w:t>.</w:t>
      </w:r>
    </w:p>
    <w:p w:rsidR="000668D3" w:rsidRPr="00BE3EB2" w:rsidRDefault="000668D3" w:rsidP="0008579C">
      <w:pPr>
        <w:pStyle w:val="ListParagraph"/>
        <w:numPr>
          <w:ilvl w:val="0"/>
          <w:numId w:val="14"/>
        </w:numPr>
        <w:spacing w:after="120"/>
        <w:contextualSpacing w:val="0"/>
        <w:rPr>
          <w:rFonts w:asciiTheme="minorHAnsi" w:hAnsiTheme="minorHAnsi" w:cs="Arial"/>
        </w:rPr>
      </w:pPr>
      <w:r w:rsidRPr="00BE3EB2">
        <w:rPr>
          <w:rFonts w:asciiTheme="minorHAnsi" w:eastAsia="Calibri" w:hAnsiTheme="minorHAnsi" w:cs="Arial"/>
          <w:lang w:val="en-GB" w:eastAsia="en-GB"/>
        </w:rPr>
        <w:t xml:space="preserve">Macquarie University received an </w:t>
      </w:r>
      <w:r w:rsidRPr="00BE3EB2">
        <w:rPr>
          <w:rFonts w:asciiTheme="minorHAnsi" w:eastAsia="Calibri" w:hAnsiTheme="minorHAnsi" w:cs="Arial"/>
          <w:i/>
          <w:lang w:val="en-GB" w:eastAsia="en-GB"/>
        </w:rPr>
        <w:t>Inspiring Australia Citizen Science</w:t>
      </w:r>
      <w:r w:rsidRPr="00BE3EB2">
        <w:rPr>
          <w:rFonts w:asciiTheme="minorHAnsi" w:eastAsia="Calibri" w:hAnsiTheme="minorHAnsi" w:cs="Arial"/>
          <w:lang w:val="en-GB" w:eastAsia="en-GB"/>
        </w:rPr>
        <w:t xml:space="preserve"> </w:t>
      </w:r>
      <w:r w:rsidR="00E1429E" w:rsidRPr="00BE3EB2">
        <w:rPr>
          <w:rFonts w:asciiTheme="minorHAnsi" w:eastAsia="Calibri" w:hAnsiTheme="minorHAnsi" w:cs="Arial"/>
          <w:lang w:val="en-GB" w:eastAsia="en-GB"/>
        </w:rPr>
        <w:t>g</w:t>
      </w:r>
      <w:r w:rsidRPr="00BE3EB2">
        <w:rPr>
          <w:rFonts w:asciiTheme="minorHAnsi" w:eastAsia="Calibri" w:hAnsiTheme="minorHAnsi" w:cs="Arial"/>
          <w:lang w:val="en-GB" w:eastAsia="en-GB"/>
        </w:rPr>
        <w:t>rant for ‘</w:t>
      </w:r>
      <w:r w:rsidRPr="00BE3EB2">
        <w:rPr>
          <w:rFonts w:asciiTheme="minorHAnsi" w:hAnsiTheme="minorHAnsi" w:cs="Arial"/>
          <w:i/>
          <w:lang w:val="en-GB"/>
        </w:rPr>
        <w:t xml:space="preserve">Scoop a poop: </w:t>
      </w:r>
      <w:r w:rsidRPr="00BE3EB2">
        <w:rPr>
          <w:rFonts w:asciiTheme="minorHAnsi" w:hAnsiTheme="minorHAnsi" w:cs="Arial"/>
          <w:i/>
          <w:lang w:val="en-GB" w:eastAsia="en-GB" w:bidi="en-US"/>
        </w:rPr>
        <w:t>citizen scientists tackle AMR in the wild</w:t>
      </w:r>
      <w:r w:rsidRPr="00BE3EB2">
        <w:rPr>
          <w:rFonts w:asciiTheme="minorHAnsi" w:hAnsiTheme="minorHAnsi" w:cs="Arial"/>
          <w:lang w:val="en-GB" w:eastAsia="en-GB" w:bidi="en-US"/>
        </w:rPr>
        <w:t>’, which</w:t>
      </w:r>
      <w:r w:rsidRPr="00BE3EB2">
        <w:rPr>
          <w:rFonts w:asciiTheme="minorHAnsi" w:hAnsiTheme="minorHAnsi" w:cs="Arial"/>
          <w:lang w:val="en-GB"/>
        </w:rPr>
        <w:t xml:space="preserve"> involves partnering with high schools to educate students on issues of AMR. </w:t>
      </w:r>
      <w:r w:rsidRPr="00BE3EB2">
        <w:rPr>
          <w:rFonts w:asciiTheme="minorHAnsi" w:hAnsiTheme="minorHAnsi" w:cs="Arial"/>
          <w:bdr w:val="none" w:sz="0" w:space="0" w:color="auto" w:frame="1"/>
          <w:shd w:val="clear" w:color="auto" w:fill="FFFFFF"/>
          <w:lang w:val="en-GB" w:eastAsia="en-GB"/>
        </w:rPr>
        <w:t xml:space="preserve">Participants </w:t>
      </w:r>
      <w:r w:rsidR="00191BC3">
        <w:rPr>
          <w:rFonts w:asciiTheme="minorHAnsi" w:hAnsiTheme="minorHAnsi" w:cs="Arial"/>
          <w:bdr w:val="none" w:sz="0" w:space="0" w:color="auto" w:frame="1"/>
          <w:shd w:val="clear" w:color="auto" w:fill="FFFFFF"/>
          <w:lang w:val="en-GB" w:eastAsia="en-GB"/>
        </w:rPr>
        <w:t xml:space="preserve">in NSW </w:t>
      </w:r>
      <w:r w:rsidRPr="00BE3EB2">
        <w:rPr>
          <w:rFonts w:asciiTheme="minorHAnsi" w:hAnsiTheme="minorHAnsi" w:cs="Arial"/>
          <w:bdr w:val="none" w:sz="0" w:space="0" w:color="auto" w:frame="1"/>
          <w:shd w:val="clear" w:color="auto" w:fill="FFFFFF"/>
          <w:lang w:val="en-GB" w:eastAsia="en-GB"/>
        </w:rPr>
        <w:t>will collect brushtail possum scats from their backyards using a specially designed kit.</w:t>
      </w:r>
    </w:p>
    <w:p w:rsidR="00B442D6" w:rsidRPr="00AE0291" w:rsidRDefault="00B442D6" w:rsidP="00445D1A">
      <w:pPr>
        <w:pStyle w:val="Heading4"/>
      </w:pPr>
      <w:r w:rsidRPr="00AE0291">
        <w:t>Human Health</w:t>
      </w:r>
    </w:p>
    <w:p w:rsidR="000C20EC" w:rsidRPr="00BE3EB2" w:rsidRDefault="00EB1D3C" w:rsidP="00F37934">
      <w:pPr>
        <w:pStyle w:val="ListParagraph"/>
        <w:numPr>
          <w:ilvl w:val="0"/>
          <w:numId w:val="13"/>
        </w:numPr>
        <w:spacing w:after="120"/>
        <w:contextualSpacing w:val="0"/>
        <w:rPr>
          <w:rFonts w:asciiTheme="minorHAnsi" w:hAnsiTheme="minorHAnsi" w:cs="Arial"/>
        </w:rPr>
      </w:pPr>
      <w:r w:rsidRPr="00BE3EB2">
        <w:rPr>
          <w:rFonts w:asciiTheme="minorHAnsi" w:hAnsiTheme="minorHAnsi" w:cs="Arial"/>
        </w:rPr>
        <w:t xml:space="preserve">The </w:t>
      </w:r>
      <w:r w:rsidR="00290724" w:rsidRPr="00BE3EB2">
        <w:rPr>
          <w:rFonts w:asciiTheme="minorHAnsi" w:hAnsiTheme="minorHAnsi" w:cs="Arial"/>
        </w:rPr>
        <w:t xml:space="preserve">release of the </w:t>
      </w:r>
      <w:r w:rsidR="00191BC3">
        <w:rPr>
          <w:rFonts w:asciiTheme="minorHAnsi" w:hAnsiTheme="minorHAnsi" w:cs="Arial"/>
        </w:rPr>
        <w:t xml:space="preserve">first and second </w:t>
      </w:r>
      <w:r w:rsidR="00290724" w:rsidRPr="00BE3EB2">
        <w:rPr>
          <w:rFonts w:asciiTheme="minorHAnsi" w:hAnsiTheme="minorHAnsi" w:cs="Arial"/>
        </w:rPr>
        <w:t xml:space="preserve">AURA </w:t>
      </w:r>
      <w:r w:rsidR="00B0492D">
        <w:rPr>
          <w:rFonts w:asciiTheme="minorHAnsi" w:hAnsiTheme="minorHAnsi" w:cs="Arial"/>
        </w:rPr>
        <w:t>s</w:t>
      </w:r>
      <w:r w:rsidR="00290724" w:rsidRPr="00BE3EB2">
        <w:rPr>
          <w:rFonts w:asciiTheme="minorHAnsi" w:hAnsiTheme="minorHAnsi" w:cs="Arial"/>
        </w:rPr>
        <w:t xml:space="preserve">urveillance reports </w:t>
      </w:r>
      <w:r w:rsidR="002D3493" w:rsidRPr="00BE3EB2">
        <w:rPr>
          <w:rFonts w:asciiTheme="minorHAnsi" w:hAnsiTheme="minorHAnsi" w:cs="Arial"/>
        </w:rPr>
        <w:t xml:space="preserve">(2016 and 2017) </w:t>
      </w:r>
      <w:r w:rsidR="00290724" w:rsidRPr="00BE3EB2">
        <w:rPr>
          <w:rFonts w:asciiTheme="minorHAnsi" w:hAnsiTheme="minorHAnsi" w:cs="Arial"/>
        </w:rPr>
        <w:t>has</w:t>
      </w:r>
      <w:r w:rsidR="00197EB9" w:rsidRPr="00BE3EB2">
        <w:rPr>
          <w:rFonts w:asciiTheme="minorHAnsi" w:hAnsiTheme="minorHAnsi" w:cs="Arial"/>
        </w:rPr>
        <w:t xml:space="preserve"> </w:t>
      </w:r>
      <w:r w:rsidR="00191BC3">
        <w:rPr>
          <w:rFonts w:asciiTheme="minorHAnsi" w:hAnsiTheme="minorHAnsi" w:cs="Arial"/>
        </w:rPr>
        <w:t>raised the</w:t>
      </w:r>
      <w:r w:rsidR="00767A0F" w:rsidRPr="00BE3EB2">
        <w:rPr>
          <w:rFonts w:asciiTheme="minorHAnsi" w:hAnsiTheme="minorHAnsi" w:cs="Arial"/>
        </w:rPr>
        <w:t xml:space="preserve"> profile of AMR through the dissemination of </w:t>
      </w:r>
      <w:r w:rsidR="00B16F76" w:rsidRPr="00BE3EB2">
        <w:rPr>
          <w:rFonts w:asciiTheme="minorHAnsi" w:hAnsiTheme="minorHAnsi" w:cs="Arial"/>
        </w:rPr>
        <w:t xml:space="preserve">data on AMR and antibiotic use on a recurring basis. </w:t>
      </w:r>
      <w:hyperlink r:id="rId14" w:history="1">
        <w:r w:rsidR="00F37934" w:rsidRPr="00B322D5">
          <w:rPr>
            <w:rStyle w:val="Hyperlink"/>
            <w:rFonts w:asciiTheme="minorHAnsi" w:hAnsiTheme="minorHAnsi" w:cs="Arial"/>
          </w:rPr>
          <w:t>AURA 2017</w:t>
        </w:r>
      </w:hyperlink>
      <w:r w:rsidR="00F37934">
        <w:rPr>
          <w:rFonts w:asciiTheme="minorHAnsi" w:hAnsiTheme="minorHAnsi" w:cs="Arial"/>
        </w:rPr>
        <w:t xml:space="preserve"> is available </w:t>
      </w:r>
      <w:r w:rsidR="00B322D5">
        <w:rPr>
          <w:rFonts w:asciiTheme="minorHAnsi" w:hAnsiTheme="minorHAnsi" w:cs="Arial"/>
        </w:rPr>
        <w:t xml:space="preserve">through the </w:t>
      </w:r>
      <w:hyperlink r:id="rId15" w:history="1">
        <w:r w:rsidR="00B322D5" w:rsidRPr="00B0492D">
          <w:rPr>
            <w:rStyle w:val="Hyperlink"/>
            <w:rFonts w:asciiTheme="minorHAnsi" w:hAnsiTheme="minorHAnsi" w:cs="Arial"/>
          </w:rPr>
          <w:t>Australian Commission on Safety and Quality in Health Care website</w:t>
        </w:r>
      </w:hyperlink>
      <w:r w:rsidR="00B322D5">
        <w:rPr>
          <w:rFonts w:asciiTheme="minorHAnsi" w:hAnsiTheme="minorHAnsi" w:cs="Arial"/>
        </w:rPr>
        <w:t>.</w:t>
      </w:r>
    </w:p>
    <w:p w:rsidR="00A048F5" w:rsidRPr="00691A93" w:rsidRDefault="00A048F5" w:rsidP="00A048F5">
      <w:pPr>
        <w:pStyle w:val="ListParagraph"/>
        <w:numPr>
          <w:ilvl w:val="0"/>
          <w:numId w:val="13"/>
        </w:numPr>
        <w:spacing w:after="120"/>
        <w:ind w:left="714" w:hanging="357"/>
        <w:contextualSpacing w:val="0"/>
        <w:rPr>
          <w:rFonts w:asciiTheme="minorHAnsi" w:hAnsiTheme="minorHAnsi" w:cs="Arial"/>
        </w:rPr>
      </w:pPr>
      <w:r w:rsidRPr="00691A93">
        <w:rPr>
          <w:rFonts w:asciiTheme="minorHAnsi" w:hAnsiTheme="minorHAnsi" w:cs="Arial"/>
        </w:rPr>
        <w:t xml:space="preserve">In June 2017, the Australian Government Chief Medical Officer sent letters to </w:t>
      </w:r>
      <w:r w:rsidR="000213BE">
        <w:rPr>
          <w:rFonts w:asciiTheme="minorHAnsi" w:hAnsiTheme="minorHAnsi" w:cs="Arial"/>
        </w:rPr>
        <w:t>general practitioners (</w:t>
      </w:r>
      <w:r w:rsidRPr="00691A93">
        <w:rPr>
          <w:rFonts w:asciiTheme="minorHAnsi" w:hAnsiTheme="minorHAnsi" w:cs="Arial"/>
        </w:rPr>
        <w:t>GPs</w:t>
      </w:r>
      <w:r w:rsidR="000213BE">
        <w:rPr>
          <w:rFonts w:asciiTheme="minorHAnsi" w:hAnsiTheme="minorHAnsi" w:cs="Arial"/>
        </w:rPr>
        <w:t>)</w:t>
      </w:r>
      <w:r w:rsidR="00EA13C7">
        <w:rPr>
          <w:rFonts w:asciiTheme="minorHAnsi" w:hAnsiTheme="minorHAnsi" w:cs="Arial"/>
        </w:rPr>
        <w:t xml:space="preserve"> </w:t>
      </w:r>
      <w:r w:rsidRPr="00691A93">
        <w:rPr>
          <w:rFonts w:asciiTheme="minorHAnsi" w:hAnsiTheme="minorHAnsi" w:cs="Arial"/>
        </w:rPr>
        <w:t>in the top 30%</w:t>
      </w:r>
      <w:r w:rsidR="00EA13C7">
        <w:rPr>
          <w:rFonts w:asciiTheme="minorHAnsi" w:hAnsiTheme="minorHAnsi" w:cs="Arial"/>
        </w:rPr>
        <w:t xml:space="preserve"> of prescribers</w:t>
      </w:r>
      <w:r w:rsidRPr="00691A93">
        <w:rPr>
          <w:rFonts w:asciiTheme="minorHAnsi" w:hAnsiTheme="minorHAnsi" w:cs="Arial"/>
        </w:rPr>
        <w:t>, compared to others in their local area</w:t>
      </w:r>
      <w:r w:rsidR="00EA13C7">
        <w:rPr>
          <w:rFonts w:asciiTheme="minorHAnsi" w:hAnsiTheme="minorHAnsi" w:cs="Arial"/>
        </w:rPr>
        <w:t xml:space="preserve">, </w:t>
      </w:r>
      <w:r w:rsidRPr="00691A93">
        <w:rPr>
          <w:rFonts w:asciiTheme="minorHAnsi" w:hAnsiTheme="minorHAnsi" w:cs="Arial"/>
        </w:rPr>
        <w:t>based on the most common antibiotics in general practice. The letter provided comparison with GPs in the same region and sought the GP’s assistance in reducing unne</w:t>
      </w:r>
      <w:r>
        <w:rPr>
          <w:rFonts w:asciiTheme="minorHAnsi" w:hAnsiTheme="minorHAnsi" w:cs="Arial"/>
        </w:rPr>
        <w:t>cessary antibiotic prescribing.</w:t>
      </w:r>
    </w:p>
    <w:p w:rsidR="00EF0836" w:rsidRPr="00BE3EB2" w:rsidRDefault="00EA13C7" w:rsidP="00BE3EB2">
      <w:pPr>
        <w:pStyle w:val="ListParagraph"/>
        <w:numPr>
          <w:ilvl w:val="0"/>
          <w:numId w:val="13"/>
        </w:numPr>
        <w:spacing w:after="120"/>
        <w:ind w:left="714" w:hanging="357"/>
        <w:contextualSpacing w:val="0"/>
        <w:rPr>
          <w:rFonts w:asciiTheme="minorHAnsi" w:hAnsiTheme="minorHAnsi" w:cs="Arial"/>
        </w:rPr>
      </w:pPr>
      <w:r>
        <w:rPr>
          <w:rFonts w:asciiTheme="minorHAnsi" w:hAnsiTheme="minorHAnsi" w:cs="Arial"/>
        </w:rPr>
        <w:t xml:space="preserve">The National Centre for Antimicrobial Stewardship </w:t>
      </w:r>
      <w:r w:rsidR="001B0882" w:rsidRPr="00BE3EB2">
        <w:rPr>
          <w:rFonts w:asciiTheme="minorHAnsi" w:hAnsiTheme="minorHAnsi" w:cs="Arial"/>
        </w:rPr>
        <w:t>conduct</w:t>
      </w:r>
      <w:r>
        <w:rPr>
          <w:rFonts w:asciiTheme="minorHAnsi" w:hAnsiTheme="minorHAnsi" w:cs="Arial"/>
        </w:rPr>
        <w:t>s</w:t>
      </w:r>
      <w:r w:rsidR="00281683" w:rsidRPr="00BE3EB2">
        <w:rPr>
          <w:rFonts w:asciiTheme="minorHAnsi" w:hAnsiTheme="minorHAnsi" w:cs="Arial"/>
        </w:rPr>
        <w:t xml:space="preserve"> </w:t>
      </w:r>
      <w:r w:rsidR="00512117" w:rsidRPr="00BE3EB2">
        <w:rPr>
          <w:rFonts w:asciiTheme="minorHAnsi" w:hAnsiTheme="minorHAnsi" w:cs="Arial"/>
        </w:rPr>
        <w:t xml:space="preserve">AMR </w:t>
      </w:r>
      <w:r w:rsidR="00B565AD" w:rsidRPr="00BE3EB2">
        <w:rPr>
          <w:rFonts w:asciiTheme="minorHAnsi" w:hAnsiTheme="minorHAnsi" w:cs="Arial"/>
        </w:rPr>
        <w:t>education and training activ</w:t>
      </w:r>
      <w:r w:rsidR="000668D3" w:rsidRPr="00BE3EB2">
        <w:rPr>
          <w:rFonts w:asciiTheme="minorHAnsi" w:hAnsiTheme="minorHAnsi" w:cs="Arial"/>
        </w:rPr>
        <w:t xml:space="preserve">ities, including </w:t>
      </w:r>
      <w:r w:rsidR="00B565AD" w:rsidRPr="00BE3EB2">
        <w:rPr>
          <w:rFonts w:asciiTheme="minorHAnsi" w:hAnsiTheme="minorHAnsi" w:cs="Arial"/>
        </w:rPr>
        <w:t>education seminars and workshops for various specialist groups</w:t>
      </w:r>
      <w:r>
        <w:rPr>
          <w:rFonts w:asciiTheme="minorHAnsi" w:hAnsiTheme="minorHAnsi" w:cs="Arial"/>
        </w:rPr>
        <w:t xml:space="preserve"> on antimicrobial stewardship strategies</w:t>
      </w:r>
      <w:r w:rsidR="000668D3" w:rsidRPr="00BE3EB2">
        <w:rPr>
          <w:rFonts w:asciiTheme="minorHAnsi" w:hAnsiTheme="minorHAnsi" w:cs="Arial"/>
        </w:rPr>
        <w:t xml:space="preserve">; </w:t>
      </w:r>
      <w:r w:rsidR="00B565AD" w:rsidRPr="00BE3EB2">
        <w:rPr>
          <w:rFonts w:asciiTheme="minorHAnsi" w:hAnsiTheme="minorHAnsi" w:cs="Arial"/>
        </w:rPr>
        <w:t>an annual forum during AAW</w:t>
      </w:r>
      <w:r w:rsidR="000668D3" w:rsidRPr="00BE3EB2">
        <w:rPr>
          <w:rFonts w:asciiTheme="minorHAnsi" w:hAnsiTheme="minorHAnsi" w:cs="Arial"/>
        </w:rPr>
        <w:t xml:space="preserve">; </w:t>
      </w:r>
      <w:r w:rsidR="00D056AA" w:rsidRPr="00BE3EB2">
        <w:rPr>
          <w:rFonts w:asciiTheme="minorHAnsi" w:hAnsiTheme="minorHAnsi" w:cs="Arial"/>
        </w:rPr>
        <w:t xml:space="preserve">and </w:t>
      </w:r>
      <w:r w:rsidR="00B565AD" w:rsidRPr="00BE3EB2">
        <w:rPr>
          <w:rFonts w:asciiTheme="minorHAnsi" w:hAnsiTheme="minorHAnsi" w:cs="Arial"/>
        </w:rPr>
        <w:t>disseminat</w:t>
      </w:r>
      <w:r>
        <w:rPr>
          <w:rFonts w:asciiTheme="minorHAnsi" w:hAnsiTheme="minorHAnsi" w:cs="Arial"/>
        </w:rPr>
        <w:t>es</w:t>
      </w:r>
      <w:r w:rsidR="00B565AD" w:rsidRPr="00BE3EB2">
        <w:rPr>
          <w:rFonts w:asciiTheme="minorHAnsi" w:hAnsiTheme="minorHAnsi" w:cs="Arial"/>
        </w:rPr>
        <w:t xml:space="preserve"> research, clinical perspectives </w:t>
      </w:r>
      <w:r w:rsidR="00512117" w:rsidRPr="00BE3EB2">
        <w:rPr>
          <w:rFonts w:asciiTheme="minorHAnsi" w:hAnsiTheme="minorHAnsi" w:cs="Arial"/>
        </w:rPr>
        <w:t xml:space="preserve">and </w:t>
      </w:r>
      <w:r w:rsidR="00B565AD" w:rsidRPr="00BE3EB2">
        <w:rPr>
          <w:rFonts w:asciiTheme="minorHAnsi" w:hAnsiTheme="minorHAnsi" w:cs="Arial"/>
        </w:rPr>
        <w:t>advice on antimicrobial</w:t>
      </w:r>
      <w:r w:rsidR="000668D3" w:rsidRPr="00BE3EB2">
        <w:rPr>
          <w:rFonts w:asciiTheme="minorHAnsi" w:hAnsiTheme="minorHAnsi" w:cs="Arial"/>
        </w:rPr>
        <w:t xml:space="preserve"> stewardship</w:t>
      </w:r>
      <w:r w:rsidR="00B565AD" w:rsidRPr="00BE3EB2">
        <w:rPr>
          <w:rFonts w:asciiTheme="minorHAnsi" w:hAnsiTheme="minorHAnsi" w:cs="Arial"/>
        </w:rPr>
        <w:t xml:space="preserve"> strategies.</w:t>
      </w:r>
    </w:p>
    <w:p w:rsidR="00EF0836" w:rsidRDefault="00EF0836" w:rsidP="00BE3EB2">
      <w:pPr>
        <w:pStyle w:val="ListParagraph"/>
        <w:numPr>
          <w:ilvl w:val="0"/>
          <w:numId w:val="13"/>
        </w:numPr>
        <w:spacing w:after="120"/>
        <w:ind w:left="714" w:hanging="357"/>
        <w:contextualSpacing w:val="0"/>
        <w:rPr>
          <w:rFonts w:asciiTheme="minorHAnsi" w:hAnsiTheme="minorHAnsi" w:cs="Arial"/>
        </w:rPr>
      </w:pPr>
      <w:r w:rsidRPr="00BE3EB2">
        <w:rPr>
          <w:rFonts w:asciiTheme="minorHAnsi" w:hAnsiTheme="minorHAnsi" w:cs="Arial"/>
        </w:rPr>
        <w:t xml:space="preserve">Queensland University of Technology </w:t>
      </w:r>
      <w:r w:rsidR="00E1429E" w:rsidRPr="00BE3EB2">
        <w:rPr>
          <w:rFonts w:asciiTheme="minorHAnsi" w:hAnsiTheme="minorHAnsi" w:cs="Arial"/>
        </w:rPr>
        <w:t>undertook</w:t>
      </w:r>
      <w:r w:rsidRPr="00BE3EB2">
        <w:rPr>
          <w:rFonts w:asciiTheme="minorHAnsi" w:hAnsiTheme="minorHAnsi" w:cs="Arial"/>
        </w:rPr>
        <w:t xml:space="preserve"> </w:t>
      </w:r>
      <w:r w:rsidR="00E1429E" w:rsidRPr="00BE3EB2">
        <w:rPr>
          <w:rFonts w:asciiTheme="minorHAnsi" w:hAnsiTheme="minorHAnsi" w:cs="Arial"/>
        </w:rPr>
        <w:t>an</w:t>
      </w:r>
      <w:r w:rsidRPr="00BE3EB2">
        <w:rPr>
          <w:rFonts w:asciiTheme="minorHAnsi" w:hAnsiTheme="minorHAnsi" w:cs="Arial"/>
        </w:rPr>
        <w:t xml:space="preserve"> investigat</w:t>
      </w:r>
      <w:r w:rsidR="00E1429E" w:rsidRPr="00BE3EB2">
        <w:rPr>
          <w:rFonts w:asciiTheme="minorHAnsi" w:hAnsiTheme="minorHAnsi" w:cs="Arial"/>
        </w:rPr>
        <w:t>ion</w:t>
      </w:r>
      <w:r w:rsidRPr="00BE3EB2">
        <w:rPr>
          <w:rFonts w:asciiTheme="minorHAnsi" w:hAnsiTheme="minorHAnsi" w:cs="Arial"/>
        </w:rPr>
        <w:t xml:space="preserve"> </w:t>
      </w:r>
      <w:r w:rsidR="002D3493" w:rsidRPr="00BE3EB2">
        <w:rPr>
          <w:rFonts w:asciiTheme="minorHAnsi" w:hAnsiTheme="minorHAnsi" w:cs="Arial"/>
        </w:rPr>
        <w:t>to establish</w:t>
      </w:r>
      <w:r w:rsidRPr="00BE3EB2">
        <w:rPr>
          <w:rFonts w:asciiTheme="minorHAnsi" w:hAnsiTheme="minorHAnsi" w:cs="Arial"/>
        </w:rPr>
        <w:t xml:space="preserve"> the dominant factors influencing decision-making on antibiotic use from the perspectives of general practitioners, community pharmacists and consumers.</w:t>
      </w:r>
    </w:p>
    <w:p w:rsidR="00CA3DA2" w:rsidRPr="00CA3DA2" w:rsidRDefault="00CA3DA2" w:rsidP="00CA3DA2">
      <w:pPr>
        <w:pStyle w:val="ListParagraph"/>
        <w:numPr>
          <w:ilvl w:val="0"/>
          <w:numId w:val="13"/>
        </w:numPr>
        <w:autoSpaceDE w:val="0"/>
        <w:autoSpaceDN w:val="0"/>
        <w:adjustRightInd w:val="0"/>
        <w:rPr>
          <w:rFonts w:asciiTheme="minorHAnsi" w:hAnsiTheme="minorHAnsi"/>
        </w:rPr>
      </w:pPr>
      <w:r w:rsidRPr="00CA3DA2">
        <w:rPr>
          <w:rFonts w:asciiTheme="minorHAnsi" w:hAnsiTheme="minorHAnsi"/>
        </w:rPr>
        <w:t>NPS</w:t>
      </w:r>
      <w:r w:rsidR="00EA13C7">
        <w:rPr>
          <w:rFonts w:asciiTheme="minorHAnsi" w:hAnsiTheme="minorHAnsi"/>
        </w:rPr>
        <w:t xml:space="preserve"> MedicineWise</w:t>
      </w:r>
      <w:r w:rsidRPr="00CA3DA2">
        <w:rPr>
          <w:rFonts w:asciiTheme="minorHAnsi" w:hAnsiTheme="minorHAnsi"/>
        </w:rPr>
        <w:t xml:space="preserve"> has been delivering on a five year </w:t>
      </w:r>
      <w:r w:rsidRPr="00CA3DA2">
        <w:rPr>
          <w:rFonts w:asciiTheme="minorHAnsi" w:hAnsiTheme="minorHAnsi"/>
          <w:i/>
        </w:rPr>
        <w:t>Reducing Antibiotic Resistance Program (2012-2017)</w:t>
      </w:r>
      <w:r w:rsidRPr="00CA3DA2">
        <w:rPr>
          <w:rFonts w:asciiTheme="minorHAnsi" w:hAnsiTheme="minorHAnsi"/>
        </w:rPr>
        <w:t>. Activities targeted to health care professionals include</w:t>
      </w:r>
      <w:r w:rsidRPr="00CA3DA2">
        <w:rPr>
          <w:rFonts w:asciiTheme="minorHAnsi" w:hAnsiTheme="minorHAnsi" w:cs="GothamNarrow-Light16"/>
          <w:color w:val="000000"/>
          <w:lang w:eastAsia="en-AU"/>
        </w:rPr>
        <w:t xml:space="preserve"> online education modules, e-audits, feedback to clinicians benchmarking their prescribing against best practice and other prescribers, and provision of ‘Antibiotic Resistance Resource’ kits. Activities specifically developed for consumers include mass media and social media campaigns, a video competition used in later campaigns, ‘</w:t>
      </w:r>
      <w:r w:rsidRPr="00CA3DA2">
        <w:rPr>
          <w:rFonts w:asciiTheme="minorHAnsi" w:hAnsiTheme="minorHAnsi"/>
        </w:rPr>
        <w:t xml:space="preserve">Antibiotic Resistance Fighter’ packs for community pharmacies </w:t>
      </w:r>
      <w:r w:rsidRPr="00CA3DA2">
        <w:rPr>
          <w:rFonts w:asciiTheme="minorHAnsi" w:hAnsiTheme="minorHAnsi" w:cs="GothamNarrow-Light16"/>
          <w:color w:val="000000"/>
          <w:lang w:eastAsia="en-AU"/>
        </w:rPr>
        <w:t>and a</w:t>
      </w:r>
      <w:r w:rsidRPr="00CA3DA2">
        <w:rPr>
          <w:rFonts w:asciiTheme="minorHAnsi" w:hAnsiTheme="minorHAnsi"/>
        </w:rPr>
        <w:t xml:space="preserve">n education kit for schools nationwide. The NPS </w:t>
      </w:r>
      <w:r w:rsidR="00EA13C7">
        <w:rPr>
          <w:rFonts w:asciiTheme="minorHAnsi" w:hAnsiTheme="minorHAnsi"/>
        </w:rPr>
        <w:t xml:space="preserve">MedicineWise </w:t>
      </w:r>
      <w:r w:rsidRPr="00CA3DA2">
        <w:rPr>
          <w:rFonts w:asciiTheme="minorHAnsi" w:hAnsiTheme="minorHAnsi"/>
        </w:rPr>
        <w:t>program is integrated with Antibiotic Awareness Week.</w:t>
      </w:r>
    </w:p>
    <w:p w:rsidR="00363FB0" w:rsidRDefault="00363FB0">
      <w:pPr>
        <w:rPr>
          <w:rFonts w:asciiTheme="minorHAnsi" w:hAnsiTheme="minorHAnsi" w:cs="Arial"/>
          <w:b/>
          <w:i/>
        </w:rPr>
      </w:pPr>
      <w:r>
        <w:rPr>
          <w:rFonts w:asciiTheme="minorHAnsi" w:hAnsiTheme="minorHAnsi" w:cs="Arial"/>
          <w:b/>
          <w:i/>
        </w:rPr>
        <w:br w:type="page"/>
      </w:r>
    </w:p>
    <w:p w:rsidR="00BF0A8B" w:rsidRPr="00AE0291" w:rsidRDefault="00BF0A8B" w:rsidP="00445D1A">
      <w:pPr>
        <w:pStyle w:val="Heading4"/>
      </w:pPr>
      <w:r w:rsidRPr="00AE0291">
        <w:lastRenderedPageBreak/>
        <w:t>Animal Health and Agriculture</w:t>
      </w:r>
    </w:p>
    <w:p w:rsidR="00BF0A8B" w:rsidRPr="00BF0A8B" w:rsidRDefault="00E212E5" w:rsidP="0008579C">
      <w:pPr>
        <w:pStyle w:val="ListParagraph"/>
        <w:numPr>
          <w:ilvl w:val="0"/>
          <w:numId w:val="13"/>
        </w:numPr>
        <w:spacing w:after="120"/>
        <w:ind w:left="714" w:hanging="357"/>
        <w:contextualSpacing w:val="0"/>
        <w:rPr>
          <w:rFonts w:asciiTheme="minorHAnsi" w:hAnsiTheme="minorHAnsi" w:cs="Arial"/>
        </w:rPr>
      </w:pPr>
      <w:r>
        <w:rPr>
          <w:rFonts w:asciiTheme="minorHAnsi" w:hAnsiTheme="minorHAnsi" w:cs="Arial"/>
        </w:rPr>
        <w:t>In August 2017, t</w:t>
      </w:r>
      <w:r w:rsidR="00BF0A8B" w:rsidRPr="00BF0A8B">
        <w:rPr>
          <w:rFonts w:asciiTheme="minorHAnsi" w:hAnsiTheme="minorHAnsi" w:cs="Arial"/>
        </w:rPr>
        <w:t>he Australian Chief Veterinary Officer</w:t>
      </w:r>
      <w:r w:rsidR="002D3493">
        <w:rPr>
          <w:rFonts w:asciiTheme="minorHAnsi" w:hAnsiTheme="minorHAnsi" w:cs="Arial"/>
        </w:rPr>
        <w:t xml:space="preserve"> </w:t>
      </w:r>
      <w:r>
        <w:rPr>
          <w:rFonts w:asciiTheme="minorHAnsi" w:hAnsiTheme="minorHAnsi" w:cs="Arial"/>
        </w:rPr>
        <w:t>wrote</w:t>
      </w:r>
      <w:r w:rsidR="00BF0A8B" w:rsidRPr="00BF0A8B">
        <w:rPr>
          <w:rFonts w:asciiTheme="minorHAnsi" w:hAnsiTheme="minorHAnsi" w:cs="Arial"/>
        </w:rPr>
        <w:t xml:space="preserve"> </w:t>
      </w:r>
      <w:r w:rsidRPr="00BF0A8B">
        <w:rPr>
          <w:rFonts w:asciiTheme="minorHAnsi" w:hAnsiTheme="minorHAnsi" w:cs="Arial"/>
        </w:rPr>
        <w:t xml:space="preserve">to </w:t>
      </w:r>
      <w:r>
        <w:rPr>
          <w:rFonts w:asciiTheme="minorHAnsi" w:hAnsiTheme="minorHAnsi" w:cs="Arial"/>
        </w:rPr>
        <w:t>Australian registered veterinarians.</w:t>
      </w:r>
      <w:r w:rsidR="00BF0A8B" w:rsidRPr="00BF0A8B">
        <w:rPr>
          <w:rFonts w:asciiTheme="minorHAnsi" w:hAnsiTheme="minorHAnsi" w:cs="Arial"/>
        </w:rPr>
        <w:t xml:space="preserve"> </w:t>
      </w:r>
      <w:r>
        <w:rPr>
          <w:rFonts w:asciiTheme="minorHAnsi" w:hAnsiTheme="minorHAnsi" w:cs="Arial"/>
        </w:rPr>
        <w:t xml:space="preserve">The letter provided a </w:t>
      </w:r>
      <w:r w:rsidR="00BF0A8B" w:rsidRPr="00BF0A8B">
        <w:rPr>
          <w:rFonts w:asciiTheme="minorHAnsi" w:hAnsiTheme="minorHAnsi" w:cs="Arial"/>
        </w:rPr>
        <w:t>remind</w:t>
      </w:r>
      <w:r>
        <w:rPr>
          <w:rFonts w:asciiTheme="minorHAnsi" w:hAnsiTheme="minorHAnsi" w:cs="Arial"/>
        </w:rPr>
        <w:t xml:space="preserve">er </w:t>
      </w:r>
      <w:r w:rsidR="00BF0A8B" w:rsidRPr="00BF0A8B">
        <w:rPr>
          <w:rFonts w:asciiTheme="minorHAnsi" w:hAnsiTheme="minorHAnsi" w:cs="Arial"/>
        </w:rPr>
        <w:t>of prudent and responsible use of antimicrobials in veterinary practice, to limit and minimise the spread of AMR.</w:t>
      </w:r>
    </w:p>
    <w:p w:rsidR="00BF0A8B" w:rsidRPr="00BF0A8B" w:rsidRDefault="00BF0A8B" w:rsidP="0008579C">
      <w:pPr>
        <w:pStyle w:val="ListParagraph"/>
        <w:numPr>
          <w:ilvl w:val="0"/>
          <w:numId w:val="13"/>
        </w:numPr>
        <w:spacing w:after="120"/>
        <w:ind w:left="714" w:hanging="357"/>
        <w:contextualSpacing w:val="0"/>
        <w:rPr>
          <w:rFonts w:asciiTheme="minorHAnsi" w:hAnsiTheme="minorHAnsi" w:cs="Arial"/>
        </w:rPr>
      </w:pPr>
      <w:r w:rsidRPr="00BF0A8B">
        <w:rPr>
          <w:rFonts w:asciiTheme="minorHAnsi" w:hAnsiTheme="minorHAnsi" w:cs="Arial"/>
        </w:rPr>
        <w:t>Primary Industries and Regions South Australia ha</w:t>
      </w:r>
      <w:r w:rsidR="00CA7184">
        <w:rPr>
          <w:rFonts w:asciiTheme="minorHAnsi" w:hAnsiTheme="minorHAnsi" w:cs="Arial"/>
        </w:rPr>
        <w:t>s</w:t>
      </w:r>
      <w:r w:rsidRPr="00BF0A8B">
        <w:rPr>
          <w:rFonts w:asciiTheme="minorHAnsi" w:hAnsiTheme="minorHAnsi" w:cs="Arial"/>
        </w:rPr>
        <w:t xml:space="preserve"> increased communication of AMR issues to state government staff via conferences and newsletters, and to pig and poultry (chicken meat and eggs) peak bodies.</w:t>
      </w:r>
    </w:p>
    <w:p w:rsidR="00BF0A8B" w:rsidRPr="00BF0A8B" w:rsidRDefault="000A2DC3" w:rsidP="0008579C">
      <w:pPr>
        <w:pStyle w:val="ListParagraph"/>
        <w:numPr>
          <w:ilvl w:val="0"/>
          <w:numId w:val="13"/>
        </w:numPr>
        <w:spacing w:after="120"/>
        <w:ind w:left="714" w:hanging="357"/>
        <w:contextualSpacing w:val="0"/>
        <w:rPr>
          <w:rFonts w:asciiTheme="minorHAnsi" w:hAnsiTheme="minorHAnsi" w:cs="Arial"/>
        </w:rPr>
      </w:pPr>
      <w:r>
        <w:rPr>
          <w:rFonts w:asciiTheme="minorHAnsi" w:hAnsiTheme="minorHAnsi" w:cs="Arial"/>
        </w:rPr>
        <w:t>T</w:t>
      </w:r>
      <w:r w:rsidR="00BF0A8B" w:rsidRPr="00BF0A8B">
        <w:rPr>
          <w:rFonts w:asciiTheme="minorHAnsi" w:hAnsiTheme="minorHAnsi" w:cs="Arial"/>
        </w:rPr>
        <w:t xml:space="preserve">he </w:t>
      </w:r>
      <w:r w:rsidR="000213BE">
        <w:rPr>
          <w:rFonts w:asciiTheme="minorHAnsi" w:hAnsiTheme="minorHAnsi" w:cs="Arial"/>
        </w:rPr>
        <w:t>A</w:t>
      </w:r>
      <w:r w:rsidR="00CA7184">
        <w:rPr>
          <w:rFonts w:asciiTheme="minorHAnsi" w:hAnsiTheme="minorHAnsi" w:cs="Arial"/>
        </w:rPr>
        <w:t>ustralian Veterinary Association (AVA)</w:t>
      </w:r>
      <w:r>
        <w:rPr>
          <w:rFonts w:asciiTheme="minorHAnsi" w:hAnsiTheme="minorHAnsi" w:cs="Arial"/>
        </w:rPr>
        <w:t xml:space="preserve"> </w:t>
      </w:r>
      <w:r w:rsidR="00BF0A8B" w:rsidRPr="00BF0A8B">
        <w:rPr>
          <w:rFonts w:asciiTheme="minorHAnsi" w:hAnsiTheme="minorHAnsi" w:cs="Arial"/>
        </w:rPr>
        <w:t xml:space="preserve">National Conference has featured </w:t>
      </w:r>
      <w:r w:rsidR="00A44A08">
        <w:rPr>
          <w:rFonts w:asciiTheme="minorHAnsi" w:hAnsiTheme="minorHAnsi" w:cs="Arial"/>
        </w:rPr>
        <w:t xml:space="preserve">an opening plenary on </w:t>
      </w:r>
      <w:r w:rsidR="00BF0A8B" w:rsidRPr="00BF0A8B">
        <w:rPr>
          <w:rFonts w:asciiTheme="minorHAnsi" w:hAnsiTheme="minorHAnsi" w:cs="Arial"/>
        </w:rPr>
        <w:t xml:space="preserve">AMR </w:t>
      </w:r>
      <w:r w:rsidR="00A44A08">
        <w:rPr>
          <w:rFonts w:asciiTheme="minorHAnsi" w:hAnsiTheme="minorHAnsi" w:cs="Arial"/>
        </w:rPr>
        <w:t xml:space="preserve">by the Australian Chief Veterinary Officer and/or AMR stewardship and surveillance topics </w:t>
      </w:r>
      <w:r w:rsidR="00BF0A8B" w:rsidRPr="00BF0A8B">
        <w:rPr>
          <w:rFonts w:asciiTheme="minorHAnsi" w:hAnsiTheme="minorHAnsi" w:cs="Arial"/>
        </w:rPr>
        <w:t xml:space="preserve">in </w:t>
      </w:r>
      <w:r w:rsidR="00A44A08">
        <w:rPr>
          <w:rFonts w:asciiTheme="minorHAnsi" w:hAnsiTheme="minorHAnsi" w:cs="Arial"/>
        </w:rPr>
        <w:t xml:space="preserve">the </w:t>
      </w:r>
      <w:r w:rsidR="00BF0A8B" w:rsidRPr="00BF0A8B">
        <w:rPr>
          <w:rFonts w:asciiTheme="minorHAnsi" w:hAnsiTheme="minorHAnsi" w:cs="Arial"/>
        </w:rPr>
        <w:t xml:space="preserve">programme </w:t>
      </w:r>
      <w:r>
        <w:rPr>
          <w:rFonts w:asciiTheme="minorHAnsi" w:hAnsiTheme="minorHAnsi" w:cs="Arial"/>
        </w:rPr>
        <w:t>si</w:t>
      </w:r>
      <w:r w:rsidRPr="00BF0A8B">
        <w:rPr>
          <w:rFonts w:asciiTheme="minorHAnsi" w:hAnsiTheme="minorHAnsi" w:cs="Arial"/>
        </w:rPr>
        <w:t>nce 2016</w:t>
      </w:r>
      <w:r w:rsidR="00BF0A8B" w:rsidRPr="00BF0A8B">
        <w:rPr>
          <w:rFonts w:asciiTheme="minorHAnsi" w:hAnsiTheme="minorHAnsi" w:cs="Arial"/>
        </w:rPr>
        <w:t>.</w:t>
      </w:r>
      <w:r>
        <w:rPr>
          <w:rFonts w:asciiTheme="minorHAnsi" w:hAnsiTheme="minorHAnsi" w:cs="Arial"/>
        </w:rPr>
        <w:t xml:space="preserve"> The AVA also</w:t>
      </w:r>
      <w:r w:rsidRPr="000A2DC3">
        <w:rPr>
          <w:rFonts w:asciiTheme="minorHAnsi" w:hAnsiTheme="minorHAnsi" w:cs="Arial"/>
        </w:rPr>
        <w:t xml:space="preserve"> </w:t>
      </w:r>
      <w:r>
        <w:rPr>
          <w:rFonts w:asciiTheme="minorHAnsi" w:hAnsiTheme="minorHAnsi" w:cs="Arial"/>
        </w:rPr>
        <w:t xml:space="preserve">annually </w:t>
      </w:r>
      <w:r w:rsidRPr="00BF0A8B">
        <w:rPr>
          <w:rFonts w:asciiTheme="minorHAnsi" w:hAnsiTheme="minorHAnsi" w:cs="Arial"/>
        </w:rPr>
        <w:t xml:space="preserve">participates in Antibiotic Awareness Week </w:t>
      </w:r>
      <w:r>
        <w:rPr>
          <w:rFonts w:asciiTheme="minorHAnsi" w:hAnsiTheme="minorHAnsi" w:cs="Arial"/>
        </w:rPr>
        <w:t xml:space="preserve">about </w:t>
      </w:r>
      <w:r w:rsidRPr="00BF0A8B">
        <w:rPr>
          <w:rFonts w:asciiTheme="minorHAnsi" w:hAnsiTheme="minorHAnsi" w:cs="Arial"/>
        </w:rPr>
        <w:t>responsible antibiotic usage</w:t>
      </w:r>
      <w:r>
        <w:rPr>
          <w:rFonts w:asciiTheme="minorHAnsi" w:hAnsiTheme="minorHAnsi" w:cs="Arial"/>
        </w:rPr>
        <w:t>.</w:t>
      </w:r>
    </w:p>
    <w:p w:rsidR="00BF0A8B" w:rsidRPr="00BF0A8B" w:rsidRDefault="00BF0A8B" w:rsidP="0008579C">
      <w:pPr>
        <w:pStyle w:val="ListParagraph"/>
        <w:numPr>
          <w:ilvl w:val="0"/>
          <w:numId w:val="13"/>
        </w:numPr>
        <w:spacing w:after="120"/>
        <w:ind w:left="714" w:hanging="357"/>
        <w:contextualSpacing w:val="0"/>
        <w:rPr>
          <w:rFonts w:asciiTheme="minorHAnsi" w:hAnsiTheme="minorHAnsi" w:cs="Arial"/>
        </w:rPr>
      </w:pPr>
      <w:r w:rsidRPr="00BF0A8B">
        <w:rPr>
          <w:rFonts w:asciiTheme="minorHAnsi" w:hAnsiTheme="minorHAnsi" w:cs="Arial"/>
        </w:rPr>
        <w:t xml:space="preserve">The Veterinary Practitioners Board of New South Wales released information about the </w:t>
      </w:r>
      <w:r w:rsidR="00CA7184">
        <w:rPr>
          <w:rFonts w:asciiTheme="minorHAnsi" w:hAnsiTheme="minorHAnsi" w:cs="Arial"/>
        </w:rPr>
        <w:t>N</w:t>
      </w:r>
      <w:r w:rsidRPr="00BF0A8B">
        <w:rPr>
          <w:rFonts w:asciiTheme="minorHAnsi" w:hAnsiTheme="minorHAnsi" w:cs="Arial"/>
        </w:rPr>
        <w:t xml:space="preserve">ational </w:t>
      </w:r>
      <w:r w:rsidR="00CA7184">
        <w:rPr>
          <w:rFonts w:asciiTheme="minorHAnsi" w:hAnsiTheme="minorHAnsi" w:cs="Arial"/>
        </w:rPr>
        <w:t>AMR S</w:t>
      </w:r>
      <w:r w:rsidRPr="00BF0A8B">
        <w:rPr>
          <w:rFonts w:asciiTheme="minorHAnsi" w:hAnsiTheme="minorHAnsi" w:cs="Arial"/>
        </w:rPr>
        <w:t xml:space="preserve">trategy to the profession in their publication ‘Boardtalk’ in December 2015 and assisted with </w:t>
      </w:r>
      <w:r w:rsidR="00CA7184">
        <w:rPr>
          <w:rFonts w:asciiTheme="minorHAnsi" w:hAnsiTheme="minorHAnsi" w:cs="Arial"/>
        </w:rPr>
        <w:t xml:space="preserve">the </w:t>
      </w:r>
      <w:r w:rsidRPr="00BF0A8B">
        <w:rPr>
          <w:rFonts w:asciiTheme="minorHAnsi" w:hAnsiTheme="minorHAnsi" w:cs="Arial"/>
        </w:rPr>
        <w:t>dissemination of a survey from the University of Sydney on the attitudes to antibiotic use and resistance in October 2016.</w:t>
      </w:r>
    </w:p>
    <w:p w:rsidR="00EE6B9B" w:rsidRPr="00BF0A8B" w:rsidRDefault="00EE6B9B" w:rsidP="00EE6B9B">
      <w:pPr>
        <w:pStyle w:val="ListParagraph"/>
        <w:numPr>
          <w:ilvl w:val="0"/>
          <w:numId w:val="13"/>
        </w:numPr>
        <w:spacing w:after="120"/>
        <w:ind w:left="714" w:hanging="357"/>
        <w:contextualSpacing w:val="0"/>
        <w:rPr>
          <w:rFonts w:asciiTheme="minorHAnsi" w:hAnsiTheme="minorHAnsi" w:cs="Arial"/>
        </w:rPr>
      </w:pPr>
      <w:r w:rsidRPr="00BF0A8B">
        <w:rPr>
          <w:rFonts w:asciiTheme="minorHAnsi" w:hAnsiTheme="minorHAnsi" w:cs="Arial"/>
        </w:rPr>
        <w:t xml:space="preserve">The </w:t>
      </w:r>
      <w:r w:rsidR="00560ACA">
        <w:rPr>
          <w:rFonts w:asciiTheme="minorHAnsi" w:hAnsiTheme="minorHAnsi" w:cs="Arial"/>
        </w:rPr>
        <w:t xml:space="preserve">Victorian </w:t>
      </w:r>
      <w:r w:rsidRPr="00BF0A8B">
        <w:rPr>
          <w:rFonts w:asciiTheme="minorHAnsi" w:hAnsiTheme="minorHAnsi" w:cs="Arial"/>
        </w:rPr>
        <w:t xml:space="preserve">Department of Economic Development, Jobs, Transport and Resources </w:t>
      </w:r>
      <w:r>
        <w:rPr>
          <w:rFonts w:asciiTheme="minorHAnsi" w:hAnsiTheme="minorHAnsi" w:cs="Arial"/>
        </w:rPr>
        <w:t>(</w:t>
      </w:r>
      <w:r w:rsidR="00560ACA">
        <w:rPr>
          <w:rFonts w:asciiTheme="minorHAnsi" w:hAnsiTheme="minorHAnsi" w:cs="Arial"/>
        </w:rPr>
        <w:t>DEDJTR</w:t>
      </w:r>
      <w:r>
        <w:rPr>
          <w:rFonts w:asciiTheme="minorHAnsi" w:hAnsiTheme="minorHAnsi" w:cs="Arial"/>
        </w:rPr>
        <w:t xml:space="preserve">) </w:t>
      </w:r>
      <w:r w:rsidRPr="00BF0A8B">
        <w:rPr>
          <w:rFonts w:asciiTheme="minorHAnsi" w:hAnsiTheme="minorHAnsi" w:cs="Arial"/>
        </w:rPr>
        <w:t xml:space="preserve">prepared and </w:t>
      </w:r>
      <w:r>
        <w:rPr>
          <w:rFonts w:asciiTheme="minorHAnsi" w:hAnsiTheme="minorHAnsi" w:cs="Arial"/>
        </w:rPr>
        <w:t>promoted</w:t>
      </w:r>
      <w:r w:rsidRPr="00BF0A8B">
        <w:rPr>
          <w:rFonts w:asciiTheme="minorHAnsi" w:hAnsiTheme="minorHAnsi" w:cs="Arial"/>
        </w:rPr>
        <w:t xml:space="preserve"> multiple resources on the risks associated with AMR for veterinarians, </w:t>
      </w:r>
      <w:r>
        <w:rPr>
          <w:rFonts w:asciiTheme="minorHAnsi" w:hAnsiTheme="minorHAnsi" w:cs="Arial"/>
        </w:rPr>
        <w:t xml:space="preserve">veterinary staff and students, </w:t>
      </w:r>
      <w:r w:rsidRPr="00BF0A8B">
        <w:rPr>
          <w:rFonts w:asciiTheme="minorHAnsi" w:hAnsiTheme="minorHAnsi" w:cs="Arial"/>
        </w:rPr>
        <w:t xml:space="preserve">farmers and </w:t>
      </w:r>
      <w:r>
        <w:rPr>
          <w:rFonts w:asciiTheme="minorHAnsi" w:hAnsiTheme="minorHAnsi" w:cs="Arial"/>
        </w:rPr>
        <w:t>other stakeholders at 28 events as of September 2017.</w:t>
      </w:r>
      <w:r w:rsidR="00B701F2">
        <w:rPr>
          <w:rFonts w:asciiTheme="minorHAnsi" w:hAnsiTheme="minorHAnsi" w:cs="Arial"/>
        </w:rPr>
        <w:t xml:space="preserve"> Educational resources include </w:t>
      </w:r>
      <w:r>
        <w:rPr>
          <w:rFonts w:asciiTheme="minorHAnsi" w:hAnsiTheme="minorHAnsi" w:cs="Arial"/>
        </w:rPr>
        <w:t>new AMR web pages</w:t>
      </w:r>
      <w:r w:rsidR="00B701F2">
        <w:rPr>
          <w:rFonts w:asciiTheme="minorHAnsi" w:hAnsiTheme="minorHAnsi" w:cs="Arial"/>
        </w:rPr>
        <w:t xml:space="preserve">, </w:t>
      </w:r>
      <w:r w:rsidRPr="00BF0A8B">
        <w:rPr>
          <w:rFonts w:asciiTheme="minorHAnsi" w:hAnsiTheme="minorHAnsi" w:cs="Arial"/>
          <w:i/>
        </w:rPr>
        <w:t>Principles of Appropriate Use of Antimicrobials</w:t>
      </w:r>
      <w:r w:rsidRPr="00BF0A8B">
        <w:rPr>
          <w:rFonts w:asciiTheme="minorHAnsi" w:hAnsiTheme="minorHAnsi" w:cs="Arial"/>
        </w:rPr>
        <w:t xml:space="preserve"> and </w:t>
      </w:r>
      <w:r w:rsidRPr="007B6BE2">
        <w:rPr>
          <w:rFonts w:asciiTheme="minorHAnsi" w:hAnsiTheme="minorHAnsi" w:cs="Arial"/>
          <w:i/>
        </w:rPr>
        <w:t>The 5R’s and Framework of AMR Stewardship</w:t>
      </w:r>
      <w:r w:rsidRPr="00BF0A8B">
        <w:rPr>
          <w:rFonts w:asciiTheme="minorHAnsi" w:hAnsiTheme="minorHAnsi" w:cs="Arial"/>
        </w:rPr>
        <w:t xml:space="preserve"> posters, </w:t>
      </w:r>
      <w:r w:rsidRPr="00BF0A8B">
        <w:rPr>
          <w:rFonts w:asciiTheme="minorHAnsi" w:hAnsiTheme="minorHAnsi" w:cs="Arial"/>
          <w:i/>
        </w:rPr>
        <w:t>Busting myths about AMR</w:t>
      </w:r>
      <w:r w:rsidRPr="00BF0A8B">
        <w:rPr>
          <w:rFonts w:asciiTheme="minorHAnsi" w:hAnsiTheme="minorHAnsi" w:cs="Arial"/>
        </w:rPr>
        <w:t xml:space="preserve"> factsheet, and </w:t>
      </w:r>
      <w:r w:rsidRPr="00BF0A8B">
        <w:rPr>
          <w:rFonts w:asciiTheme="minorHAnsi" w:hAnsiTheme="minorHAnsi" w:cs="Arial"/>
          <w:i/>
        </w:rPr>
        <w:t>Key messages on AMR</w:t>
      </w:r>
      <w:r w:rsidRPr="00BF0A8B">
        <w:rPr>
          <w:rFonts w:asciiTheme="minorHAnsi" w:hAnsiTheme="minorHAnsi" w:cs="Arial"/>
        </w:rPr>
        <w:t xml:space="preserve"> magnets. These resources can be found on the </w:t>
      </w:r>
      <w:hyperlink r:id="rId16" w:history="1">
        <w:r w:rsidR="00560ACA">
          <w:rPr>
            <w:rStyle w:val="Hyperlink"/>
            <w:rFonts w:asciiTheme="minorHAnsi" w:hAnsiTheme="minorHAnsi" w:cs="Arial"/>
          </w:rPr>
          <w:t>Victorian DEDJTR AMR website</w:t>
        </w:r>
      </w:hyperlink>
      <w:r w:rsidR="00560ACA">
        <w:rPr>
          <w:rFonts w:asciiTheme="minorHAnsi" w:hAnsiTheme="minorHAnsi" w:cs="Arial"/>
        </w:rPr>
        <w:t>.</w:t>
      </w:r>
    </w:p>
    <w:p w:rsidR="00BF0A8B" w:rsidRPr="00BF0A8B" w:rsidRDefault="00BF0A8B" w:rsidP="0008579C">
      <w:pPr>
        <w:pStyle w:val="ListParagraph"/>
        <w:numPr>
          <w:ilvl w:val="0"/>
          <w:numId w:val="13"/>
        </w:numPr>
        <w:spacing w:after="120"/>
        <w:ind w:left="714" w:hanging="357"/>
        <w:contextualSpacing w:val="0"/>
        <w:rPr>
          <w:rFonts w:asciiTheme="minorHAnsi" w:hAnsiTheme="minorHAnsi" w:cs="Arial"/>
        </w:rPr>
      </w:pPr>
      <w:r w:rsidRPr="00BF0A8B">
        <w:rPr>
          <w:rFonts w:asciiTheme="minorHAnsi" w:hAnsiTheme="minorHAnsi" w:cs="Arial"/>
        </w:rPr>
        <w:t xml:space="preserve">The University of Melbourne Veterinary School will disseminate educational materials on AMR to second-, third- and fourth-year veterinary students </w:t>
      </w:r>
      <w:r w:rsidR="00A00C4A">
        <w:rPr>
          <w:rFonts w:asciiTheme="minorHAnsi" w:hAnsiTheme="minorHAnsi" w:cs="Arial"/>
        </w:rPr>
        <w:t xml:space="preserve">in </w:t>
      </w:r>
      <w:r w:rsidRPr="00BF0A8B">
        <w:rPr>
          <w:rFonts w:asciiTheme="minorHAnsi" w:hAnsiTheme="minorHAnsi" w:cs="Arial"/>
        </w:rPr>
        <w:t>2017.</w:t>
      </w:r>
    </w:p>
    <w:p w:rsidR="006B3522" w:rsidRPr="002D3493" w:rsidRDefault="00CA7184" w:rsidP="002D3493">
      <w:pPr>
        <w:pStyle w:val="ListParagraph"/>
        <w:numPr>
          <w:ilvl w:val="0"/>
          <w:numId w:val="13"/>
        </w:numPr>
        <w:spacing w:after="120"/>
        <w:ind w:left="714" w:hanging="357"/>
        <w:contextualSpacing w:val="0"/>
        <w:rPr>
          <w:rFonts w:asciiTheme="minorHAnsi" w:hAnsiTheme="minorHAnsi" w:cs="Arial"/>
        </w:rPr>
      </w:pPr>
      <w:r w:rsidRPr="00CA7184">
        <w:t xml:space="preserve">Western Australia’s </w:t>
      </w:r>
      <w:hyperlink r:id="rId17" w:history="1">
        <w:r w:rsidRPr="00CA7184">
          <w:rPr>
            <w:rStyle w:val="Hyperlink"/>
          </w:rPr>
          <w:t>Department of Primary Industries and Regional Development</w:t>
        </w:r>
      </w:hyperlink>
      <w:r>
        <w:t xml:space="preserve"> has</w:t>
      </w:r>
      <w:r w:rsidRPr="00CA7184">
        <w:t xml:space="preserve"> completed an AMR webpage</w:t>
      </w:r>
      <w:r w:rsidR="00BF0A8B" w:rsidRPr="00BF0A8B">
        <w:rPr>
          <w:rFonts w:asciiTheme="minorHAnsi" w:hAnsiTheme="minorHAnsi" w:cs="Arial"/>
        </w:rPr>
        <w:t xml:space="preserve"> with information for veterinarians and livestock owners</w:t>
      </w:r>
      <w:r w:rsidR="00A00C4A">
        <w:rPr>
          <w:rFonts w:asciiTheme="minorHAnsi" w:hAnsiTheme="minorHAnsi" w:cs="Arial"/>
        </w:rPr>
        <w:t>, and</w:t>
      </w:r>
      <w:r w:rsidR="00AF53A6">
        <w:rPr>
          <w:rFonts w:asciiTheme="minorHAnsi" w:hAnsiTheme="minorHAnsi" w:cs="Arial"/>
        </w:rPr>
        <w:t xml:space="preserve"> </w:t>
      </w:r>
      <w:r w:rsidR="00A00C4A">
        <w:rPr>
          <w:rFonts w:asciiTheme="minorHAnsi" w:hAnsiTheme="minorHAnsi" w:cs="Arial"/>
        </w:rPr>
        <w:t>disseminated</w:t>
      </w:r>
      <w:r w:rsidR="00A00C4A" w:rsidRPr="00551991">
        <w:rPr>
          <w:rFonts w:asciiTheme="minorHAnsi" w:hAnsiTheme="minorHAnsi" w:cs="Arial"/>
        </w:rPr>
        <w:t xml:space="preserve"> AMR information through electronic newsletters and communication with producers during field days</w:t>
      </w:r>
      <w:r w:rsidR="00A00C4A">
        <w:rPr>
          <w:rFonts w:asciiTheme="minorHAnsi" w:hAnsiTheme="minorHAnsi" w:cs="Arial"/>
        </w:rPr>
        <w:t>.</w:t>
      </w:r>
    </w:p>
    <w:p w:rsidR="00B9168A" w:rsidRPr="004146B6" w:rsidRDefault="00B9168A" w:rsidP="00445D1A">
      <w:pPr>
        <w:pStyle w:val="Heading3"/>
      </w:pPr>
      <w:r w:rsidRPr="004146B6">
        <w:t>What are our challenges?</w:t>
      </w:r>
    </w:p>
    <w:p w:rsidR="00DB6212" w:rsidRPr="00F9267A" w:rsidRDefault="00697C0D" w:rsidP="00F9267A">
      <w:pPr>
        <w:pStyle w:val="ListParagraph"/>
        <w:numPr>
          <w:ilvl w:val="0"/>
          <w:numId w:val="13"/>
        </w:numPr>
        <w:spacing w:after="120"/>
        <w:ind w:left="714" w:hanging="357"/>
        <w:contextualSpacing w:val="0"/>
        <w:rPr>
          <w:rFonts w:asciiTheme="minorHAnsi" w:hAnsiTheme="minorHAnsi" w:cs="Arial"/>
        </w:rPr>
      </w:pPr>
      <w:r w:rsidRPr="00F9267A">
        <w:rPr>
          <w:rFonts w:asciiTheme="minorHAnsi" w:hAnsiTheme="minorHAnsi" w:cs="Arial"/>
        </w:rPr>
        <w:t xml:space="preserve">Australian prescribing rates in human health remain high by international standards, some of which is </w:t>
      </w:r>
      <w:r w:rsidR="00191BC3" w:rsidRPr="00F9267A">
        <w:rPr>
          <w:rFonts w:asciiTheme="minorHAnsi" w:hAnsiTheme="minorHAnsi" w:cs="Arial"/>
        </w:rPr>
        <w:t xml:space="preserve">probably </w:t>
      </w:r>
      <w:r w:rsidRPr="00F9267A">
        <w:rPr>
          <w:rFonts w:asciiTheme="minorHAnsi" w:hAnsiTheme="minorHAnsi" w:cs="Arial"/>
        </w:rPr>
        <w:t xml:space="preserve">driven by </w:t>
      </w:r>
      <w:r w:rsidR="005B7017" w:rsidRPr="00F9267A">
        <w:rPr>
          <w:rFonts w:asciiTheme="minorHAnsi" w:hAnsiTheme="minorHAnsi" w:cs="Arial"/>
        </w:rPr>
        <w:t>patient</w:t>
      </w:r>
      <w:r w:rsidRPr="00F9267A">
        <w:rPr>
          <w:rFonts w:asciiTheme="minorHAnsi" w:hAnsiTheme="minorHAnsi" w:cs="Arial"/>
        </w:rPr>
        <w:t xml:space="preserve"> expectations. Our challenge is to maintain the momentum in raising awareness of AMR among consumers and health professionals and translate it into concrete actions which will help to reduce prescribing rates</w:t>
      </w:r>
      <w:r w:rsidR="00260A58">
        <w:rPr>
          <w:rFonts w:asciiTheme="minorHAnsi" w:hAnsiTheme="minorHAnsi" w:cs="Arial"/>
        </w:rPr>
        <w:t>.</w:t>
      </w:r>
    </w:p>
    <w:p w:rsidR="002C69E5" w:rsidRPr="00F9267A" w:rsidRDefault="002C69E5" w:rsidP="00F9267A">
      <w:pPr>
        <w:pStyle w:val="ListParagraph"/>
        <w:numPr>
          <w:ilvl w:val="0"/>
          <w:numId w:val="13"/>
        </w:numPr>
        <w:spacing w:after="120"/>
        <w:ind w:left="714" w:hanging="357"/>
        <w:contextualSpacing w:val="0"/>
        <w:rPr>
          <w:rFonts w:asciiTheme="minorHAnsi" w:hAnsiTheme="minorHAnsi" w:cs="Arial"/>
        </w:rPr>
      </w:pPr>
      <w:r w:rsidRPr="00F9267A">
        <w:rPr>
          <w:rFonts w:asciiTheme="minorHAnsi" w:hAnsiTheme="minorHAnsi" w:cs="Arial"/>
        </w:rPr>
        <w:t>Ensuring that communication initiatives are informed by the factors that influence the way a consumer uses a medicine is challenging. These include social and cultural conventions, health beliefs, previous experiences, financial considerations and psychological aspects.</w:t>
      </w:r>
    </w:p>
    <w:p w:rsidR="00BF0A8B" w:rsidRPr="00F9267A" w:rsidRDefault="00BF0A8B" w:rsidP="00F9267A">
      <w:pPr>
        <w:pStyle w:val="ListParagraph"/>
        <w:numPr>
          <w:ilvl w:val="0"/>
          <w:numId w:val="13"/>
        </w:numPr>
        <w:spacing w:after="120"/>
        <w:ind w:left="714" w:hanging="357"/>
        <w:contextualSpacing w:val="0"/>
        <w:rPr>
          <w:rFonts w:asciiTheme="minorHAnsi" w:hAnsiTheme="minorHAnsi" w:cs="Arial"/>
        </w:rPr>
      </w:pPr>
      <w:r>
        <w:rPr>
          <w:rFonts w:asciiTheme="minorHAnsi" w:hAnsiTheme="minorHAnsi" w:cs="Arial"/>
        </w:rPr>
        <w:t>Educating prescribers while the</w:t>
      </w:r>
      <w:r w:rsidR="00410379">
        <w:rPr>
          <w:rFonts w:asciiTheme="minorHAnsi" w:hAnsiTheme="minorHAnsi" w:cs="Arial"/>
        </w:rPr>
        <w:t>y</w:t>
      </w:r>
      <w:r>
        <w:rPr>
          <w:rFonts w:asciiTheme="minorHAnsi" w:hAnsiTheme="minorHAnsi" w:cs="Arial"/>
        </w:rPr>
        <w:t xml:space="preserve"> are students</w:t>
      </w:r>
      <w:r w:rsidR="00A00C4A">
        <w:rPr>
          <w:rFonts w:asciiTheme="minorHAnsi" w:hAnsiTheme="minorHAnsi" w:cs="Arial"/>
        </w:rPr>
        <w:t xml:space="preserve"> and after graduation</w:t>
      </w:r>
      <w:r w:rsidR="002C69E5">
        <w:rPr>
          <w:rFonts w:asciiTheme="minorHAnsi" w:hAnsiTheme="minorHAnsi" w:cs="Arial"/>
        </w:rPr>
        <w:t xml:space="preserve"> is important to reinforce important messages. This can be challenging in often crowded curricula.</w:t>
      </w:r>
    </w:p>
    <w:p w:rsidR="002C69E5" w:rsidRPr="00F9267A" w:rsidRDefault="002C69E5" w:rsidP="00F9267A">
      <w:pPr>
        <w:pStyle w:val="ListParagraph"/>
        <w:numPr>
          <w:ilvl w:val="0"/>
          <w:numId w:val="13"/>
        </w:numPr>
        <w:spacing w:after="120"/>
        <w:ind w:left="714" w:hanging="357"/>
        <w:contextualSpacing w:val="0"/>
        <w:rPr>
          <w:rFonts w:asciiTheme="minorHAnsi" w:hAnsiTheme="minorHAnsi" w:cs="Arial"/>
        </w:rPr>
      </w:pPr>
      <w:r w:rsidRPr="00F9267A">
        <w:rPr>
          <w:rFonts w:asciiTheme="minorHAnsi" w:hAnsiTheme="minorHAnsi" w:cs="Arial"/>
        </w:rPr>
        <w:lastRenderedPageBreak/>
        <w:t>Greater collaboration across professional colleges and peak groups would assist in promoting the key AMR messages, both to professionals and consumers, and support increase</w:t>
      </w:r>
      <w:r w:rsidR="00260A58">
        <w:rPr>
          <w:rFonts w:asciiTheme="minorHAnsi" w:hAnsiTheme="minorHAnsi" w:cs="Arial"/>
        </w:rPr>
        <w:t>d</w:t>
      </w:r>
      <w:r w:rsidRPr="00F9267A">
        <w:rPr>
          <w:rFonts w:asciiTheme="minorHAnsi" w:hAnsiTheme="minorHAnsi" w:cs="Arial"/>
        </w:rPr>
        <w:t xml:space="preserve"> uptake of AMR-related training, tools and other initiatives.</w:t>
      </w:r>
    </w:p>
    <w:p w:rsidR="00646A64" w:rsidRPr="004146B6" w:rsidRDefault="00E43536" w:rsidP="00445D1A">
      <w:pPr>
        <w:pStyle w:val="Heading3"/>
      </w:pPr>
      <w:r w:rsidRPr="004146B6">
        <w:t>Where to next?</w:t>
      </w:r>
    </w:p>
    <w:p w:rsidR="00BF0A8B" w:rsidRPr="00F9267A" w:rsidRDefault="00B37F4C" w:rsidP="00F9267A">
      <w:pPr>
        <w:pStyle w:val="ListParagraph"/>
        <w:numPr>
          <w:ilvl w:val="0"/>
          <w:numId w:val="13"/>
        </w:numPr>
        <w:spacing w:after="120"/>
        <w:ind w:left="714" w:hanging="357"/>
        <w:contextualSpacing w:val="0"/>
        <w:rPr>
          <w:rFonts w:asciiTheme="minorHAnsi" w:hAnsiTheme="minorHAnsi" w:cs="Arial"/>
        </w:rPr>
      </w:pPr>
      <w:r w:rsidRPr="00F9267A">
        <w:rPr>
          <w:rFonts w:asciiTheme="minorHAnsi" w:hAnsiTheme="minorHAnsi" w:cs="Arial"/>
        </w:rPr>
        <w:t xml:space="preserve">Capitalise on the opportunities presented by the </w:t>
      </w:r>
      <w:r w:rsidR="002F31E2" w:rsidRPr="00F9267A">
        <w:rPr>
          <w:rFonts w:asciiTheme="minorHAnsi" w:hAnsiTheme="minorHAnsi" w:cs="Arial"/>
        </w:rPr>
        <w:t xml:space="preserve">establishment of the </w:t>
      </w:r>
      <w:r w:rsidR="00E7635D" w:rsidRPr="00F9267A">
        <w:rPr>
          <w:rFonts w:asciiTheme="minorHAnsi" w:hAnsiTheme="minorHAnsi" w:cs="Arial"/>
        </w:rPr>
        <w:t>One Health</w:t>
      </w:r>
      <w:r w:rsidR="00BA5D97" w:rsidRPr="00F9267A">
        <w:rPr>
          <w:rFonts w:asciiTheme="minorHAnsi" w:hAnsiTheme="minorHAnsi" w:cs="Arial"/>
        </w:rPr>
        <w:t xml:space="preserve"> AMR website </w:t>
      </w:r>
      <w:r w:rsidRPr="00F9267A">
        <w:rPr>
          <w:rFonts w:asciiTheme="minorHAnsi" w:hAnsiTheme="minorHAnsi" w:cs="Arial"/>
        </w:rPr>
        <w:t xml:space="preserve">to </w:t>
      </w:r>
      <w:r w:rsidR="002F31E2" w:rsidRPr="00F9267A">
        <w:rPr>
          <w:rFonts w:asciiTheme="minorHAnsi" w:hAnsiTheme="minorHAnsi" w:cs="Arial"/>
        </w:rPr>
        <w:t xml:space="preserve">better </w:t>
      </w:r>
      <w:r w:rsidRPr="00F9267A">
        <w:rPr>
          <w:rFonts w:asciiTheme="minorHAnsi" w:hAnsiTheme="minorHAnsi" w:cs="Arial"/>
        </w:rPr>
        <w:t>reach target audiences. Explore further channels and links for communicating key AMR messages to support regular, consistent and effective information flows.</w:t>
      </w:r>
    </w:p>
    <w:p w:rsidR="00B37F4C" w:rsidRPr="00F9267A" w:rsidRDefault="00B37F4C" w:rsidP="00F9267A">
      <w:pPr>
        <w:pStyle w:val="ListParagraph"/>
        <w:numPr>
          <w:ilvl w:val="0"/>
          <w:numId w:val="13"/>
        </w:numPr>
        <w:spacing w:after="120"/>
        <w:ind w:left="714" w:hanging="357"/>
        <w:contextualSpacing w:val="0"/>
        <w:rPr>
          <w:rFonts w:asciiTheme="minorHAnsi" w:hAnsiTheme="minorHAnsi" w:cs="Arial"/>
        </w:rPr>
      </w:pPr>
      <w:r w:rsidRPr="00F9267A">
        <w:rPr>
          <w:rFonts w:asciiTheme="minorHAnsi" w:hAnsiTheme="minorHAnsi" w:cs="Arial"/>
        </w:rPr>
        <w:t xml:space="preserve">Improve engagement with the </w:t>
      </w:r>
      <w:r w:rsidR="00105313">
        <w:rPr>
          <w:rFonts w:asciiTheme="minorHAnsi" w:hAnsiTheme="minorHAnsi" w:cs="Arial"/>
        </w:rPr>
        <w:t>nursing profession and explore</w:t>
      </w:r>
      <w:r w:rsidRPr="00F9267A">
        <w:rPr>
          <w:rFonts w:asciiTheme="minorHAnsi" w:hAnsiTheme="minorHAnsi" w:cs="Arial"/>
        </w:rPr>
        <w:t xml:space="preserve"> the need for tailored resources and tools that might better support their role in areas such as antimicrobial stewardship, infection prevention and co</w:t>
      </w:r>
      <w:r w:rsidR="00F9267A">
        <w:rPr>
          <w:rFonts w:asciiTheme="minorHAnsi" w:hAnsiTheme="minorHAnsi" w:cs="Arial"/>
        </w:rPr>
        <w:t>ntrol, and patient education</w:t>
      </w:r>
      <w:r w:rsidR="00260A58">
        <w:rPr>
          <w:rFonts w:asciiTheme="minorHAnsi" w:hAnsiTheme="minorHAnsi" w:cs="Arial"/>
        </w:rPr>
        <w:t>.</w:t>
      </w:r>
    </w:p>
    <w:p w:rsidR="00BA5D97" w:rsidRPr="00F9267A" w:rsidRDefault="006B7D0B" w:rsidP="00F9267A">
      <w:pPr>
        <w:pStyle w:val="ListParagraph"/>
        <w:numPr>
          <w:ilvl w:val="0"/>
          <w:numId w:val="13"/>
        </w:numPr>
        <w:spacing w:after="120"/>
        <w:ind w:left="714" w:hanging="357"/>
        <w:contextualSpacing w:val="0"/>
        <w:rPr>
          <w:rFonts w:asciiTheme="minorHAnsi" w:hAnsiTheme="minorHAnsi" w:cs="Arial"/>
        </w:rPr>
      </w:pPr>
      <w:r>
        <w:rPr>
          <w:rFonts w:asciiTheme="minorHAnsi" w:hAnsiTheme="minorHAnsi" w:cs="Arial"/>
        </w:rPr>
        <w:t>Consider o</w:t>
      </w:r>
      <w:r w:rsidR="0016258B">
        <w:rPr>
          <w:rFonts w:asciiTheme="minorHAnsi" w:hAnsiTheme="minorHAnsi" w:cs="Arial"/>
        </w:rPr>
        <w:t xml:space="preserve">ptions </w:t>
      </w:r>
      <w:r w:rsidR="001A0FAC">
        <w:rPr>
          <w:rFonts w:asciiTheme="minorHAnsi" w:hAnsiTheme="minorHAnsi" w:cs="Arial"/>
        </w:rPr>
        <w:t>for improving</w:t>
      </w:r>
      <w:r w:rsidR="00410379">
        <w:rPr>
          <w:rFonts w:asciiTheme="minorHAnsi" w:hAnsiTheme="minorHAnsi" w:cs="Arial"/>
        </w:rPr>
        <w:t xml:space="preserve"> the</w:t>
      </w:r>
      <w:r w:rsidR="001A0FAC">
        <w:rPr>
          <w:rFonts w:asciiTheme="minorHAnsi" w:hAnsiTheme="minorHAnsi" w:cs="Arial"/>
        </w:rPr>
        <w:t xml:space="preserve"> education of</w:t>
      </w:r>
      <w:r w:rsidR="004D6672">
        <w:rPr>
          <w:rFonts w:asciiTheme="minorHAnsi" w:hAnsiTheme="minorHAnsi" w:cs="Arial"/>
        </w:rPr>
        <w:t xml:space="preserve"> human and animal health</w:t>
      </w:r>
      <w:r w:rsidR="0016258B">
        <w:rPr>
          <w:rFonts w:asciiTheme="minorHAnsi" w:hAnsiTheme="minorHAnsi" w:cs="Arial"/>
        </w:rPr>
        <w:t xml:space="preserve"> professionals </w:t>
      </w:r>
      <w:r w:rsidR="00D94F1D">
        <w:rPr>
          <w:rFonts w:asciiTheme="minorHAnsi" w:hAnsiTheme="minorHAnsi" w:cs="Arial"/>
        </w:rPr>
        <w:t xml:space="preserve">during </w:t>
      </w:r>
      <w:r w:rsidR="0016258B">
        <w:rPr>
          <w:rFonts w:asciiTheme="minorHAnsi" w:hAnsiTheme="minorHAnsi" w:cs="Arial"/>
        </w:rPr>
        <w:t>their caree</w:t>
      </w:r>
      <w:r w:rsidR="001A0FAC">
        <w:rPr>
          <w:rFonts w:asciiTheme="minorHAnsi" w:hAnsiTheme="minorHAnsi" w:cs="Arial"/>
        </w:rPr>
        <w:t>r</w:t>
      </w:r>
      <w:r w:rsidR="00D3731E">
        <w:rPr>
          <w:rFonts w:asciiTheme="minorHAnsi" w:hAnsiTheme="minorHAnsi" w:cs="Arial"/>
        </w:rPr>
        <w:t xml:space="preserve"> on </w:t>
      </w:r>
      <w:r w:rsidR="00260A58">
        <w:rPr>
          <w:rFonts w:asciiTheme="minorHAnsi" w:hAnsiTheme="minorHAnsi" w:cs="Arial"/>
        </w:rPr>
        <w:t>antimicrobial resistance</w:t>
      </w:r>
      <w:r w:rsidR="00410379">
        <w:rPr>
          <w:rFonts w:asciiTheme="minorHAnsi" w:hAnsiTheme="minorHAnsi" w:cs="Arial"/>
        </w:rPr>
        <w:t xml:space="preserve">. </w:t>
      </w:r>
      <w:r w:rsidR="00D94F1D">
        <w:rPr>
          <w:rFonts w:asciiTheme="minorHAnsi" w:hAnsiTheme="minorHAnsi" w:cs="Arial"/>
        </w:rPr>
        <w:t xml:space="preserve">For example, </w:t>
      </w:r>
      <w:r>
        <w:rPr>
          <w:rFonts w:asciiTheme="minorHAnsi" w:hAnsiTheme="minorHAnsi" w:cs="Arial"/>
        </w:rPr>
        <w:t xml:space="preserve">analysis </w:t>
      </w:r>
      <w:r w:rsidR="00D94F1D">
        <w:rPr>
          <w:rFonts w:asciiTheme="minorHAnsi" w:hAnsiTheme="minorHAnsi" w:cs="Arial"/>
        </w:rPr>
        <w:t>of course</w:t>
      </w:r>
      <w:r w:rsidR="001A0FAC">
        <w:rPr>
          <w:rFonts w:asciiTheme="minorHAnsi" w:hAnsiTheme="minorHAnsi" w:cs="Arial"/>
        </w:rPr>
        <w:t xml:space="preserve"> content offered by universities, colleges and professional bodies to identify gaps and the need for new</w:t>
      </w:r>
      <w:r>
        <w:rPr>
          <w:rFonts w:asciiTheme="minorHAnsi" w:hAnsiTheme="minorHAnsi" w:cs="Arial"/>
        </w:rPr>
        <w:t xml:space="preserve"> and/or revised</w:t>
      </w:r>
      <w:r w:rsidR="001A0FAC">
        <w:rPr>
          <w:rFonts w:asciiTheme="minorHAnsi" w:hAnsiTheme="minorHAnsi" w:cs="Arial"/>
        </w:rPr>
        <w:t xml:space="preserve"> content</w:t>
      </w:r>
      <w:r w:rsidR="00260A58">
        <w:rPr>
          <w:rFonts w:asciiTheme="minorHAnsi" w:hAnsiTheme="minorHAnsi" w:cs="Arial"/>
        </w:rPr>
        <w:t xml:space="preserve"> on AMR</w:t>
      </w:r>
      <w:r w:rsidR="00D3731E">
        <w:rPr>
          <w:rFonts w:asciiTheme="minorHAnsi" w:hAnsiTheme="minorHAnsi" w:cs="Arial"/>
        </w:rPr>
        <w:t>.</w:t>
      </w:r>
    </w:p>
    <w:p w:rsidR="006B7D0B" w:rsidRDefault="006B7D0B" w:rsidP="00F9267A">
      <w:pPr>
        <w:pStyle w:val="ListParagraph"/>
        <w:numPr>
          <w:ilvl w:val="0"/>
          <w:numId w:val="13"/>
        </w:numPr>
        <w:spacing w:after="120"/>
        <w:ind w:left="714" w:hanging="357"/>
        <w:contextualSpacing w:val="0"/>
        <w:rPr>
          <w:rFonts w:asciiTheme="minorHAnsi" w:hAnsiTheme="minorHAnsi" w:cs="Arial"/>
        </w:rPr>
      </w:pPr>
      <w:r w:rsidRPr="00F9267A">
        <w:rPr>
          <w:rFonts w:asciiTheme="minorHAnsi" w:hAnsiTheme="minorHAnsi" w:cs="Arial"/>
        </w:rPr>
        <w:t>Identify further opportunities to improve the education and training provided to prescribers in relation to appropriate antibiotic prescribing, such as the delivery of Continuing Professional Development programmes.</w:t>
      </w:r>
    </w:p>
    <w:p w:rsidR="00A25523" w:rsidRPr="00F9267A" w:rsidRDefault="00A25523" w:rsidP="00F9267A">
      <w:pPr>
        <w:pStyle w:val="ListParagraph"/>
        <w:numPr>
          <w:ilvl w:val="0"/>
          <w:numId w:val="13"/>
        </w:numPr>
        <w:spacing w:after="120"/>
        <w:ind w:left="714" w:hanging="357"/>
        <w:contextualSpacing w:val="0"/>
        <w:rPr>
          <w:rFonts w:asciiTheme="minorHAnsi" w:hAnsiTheme="minorHAnsi" w:cs="Arial"/>
        </w:rPr>
      </w:pPr>
      <w:r>
        <w:rPr>
          <w:rFonts w:asciiTheme="minorHAnsi" w:hAnsiTheme="minorHAnsi" w:cs="Arial"/>
        </w:rPr>
        <w:t xml:space="preserve">Consider options for a national AMR education and awareness campaign </w:t>
      </w:r>
      <w:r>
        <w:rPr>
          <w:rFonts w:asciiTheme="minorHAnsi" w:hAnsiTheme="minorHAnsi"/>
        </w:rPr>
        <w:t>to increase awareness</w:t>
      </w:r>
      <w:r w:rsidRPr="00C5161A">
        <w:rPr>
          <w:rFonts w:asciiTheme="minorHAnsi" w:hAnsiTheme="minorHAnsi"/>
        </w:rPr>
        <w:t xml:space="preserve"> of AMR and </w:t>
      </w:r>
      <w:r>
        <w:rPr>
          <w:rFonts w:asciiTheme="minorHAnsi" w:hAnsiTheme="minorHAnsi"/>
        </w:rPr>
        <w:t xml:space="preserve">the importance of </w:t>
      </w:r>
      <w:r w:rsidRPr="00C5161A">
        <w:rPr>
          <w:rFonts w:asciiTheme="minorHAnsi" w:hAnsiTheme="minorHAnsi"/>
        </w:rPr>
        <w:t>appropriate antibiotic use.</w:t>
      </w:r>
    </w:p>
    <w:p w:rsidR="00853C4E" w:rsidRDefault="00853C4E">
      <w:r>
        <w:rPr>
          <w:b/>
          <w:bCs/>
        </w:rPr>
        <w:br w:type="page"/>
      </w:r>
    </w:p>
    <w:tbl>
      <w:tblPr>
        <w:tblStyle w:val="TableGrid"/>
        <w:tblW w:w="0" w:type="auto"/>
        <w:shd w:val="clear" w:color="auto" w:fill="FFC000"/>
        <w:tblLook w:val="00A0" w:firstRow="1" w:lastRow="0" w:firstColumn="1" w:lastColumn="0" w:noHBand="0" w:noVBand="0"/>
        <w:tblCaption w:val="Objective 2: Implement effective antimicrobial stewardship practices across human health and animal care settings to ensure the appropraite and judicious prescribing, dispensing and administering of antimicrobials."/>
      </w:tblPr>
      <w:tblGrid>
        <w:gridCol w:w="9242"/>
      </w:tblGrid>
      <w:tr w:rsidR="004B457F" w:rsidRPr="004B457F" w:rsidTr="001A1C8C">
        <w:trPr>
          <w:tblHeader/>
        </w:trPr>
        <w:tc>
          <w:tcPr>
            <w:tcW w:w="9242" w:type="dxa"/>
            <w:shd w:val="clear" w:color="auto" w:fill="FFC000"/>
          </w:tcPr>
          <w:p w:rsidR="004B457F" w:rsidRPr="004B457F" w:rsidRDefault="001A1C8C" w:rsidP="00D41907">
            <w:pPr>
              <w:pStyle w:val="Heading2"/>
              <w:outlineLvl w:val="1"/>
            </w:pPr>
            <w:r>
              <w:lastRenderedPageBreak/>
              <w:br w:type="page"/>
            </w:r>
            <w:bookmarkStart w:id="8" w:name="_Toc498070416"/>
            <w:r w:rsidR="004B457F" w:rsidRPr="004B457F">
              <w:rPr>
                <w:rFonts w:eastAsia="Calibri" w:cs="Times New Roman"/>
              </w:rPr>
              <w:t xml:space="preserve">Objective 2: </w:t>
            </w:r>
            <w:r w:rsidR="004B457F" w:rsidRPr="004B457F">
              <w:t xml:space="preserve">Implement effective antimicrobial stewardship practices across human health and animal </w:t>
            </w:r>
            <w:r w:rsidR="00423F08">
              <w:t>care</w:t>
            </w:r>
            <w:r w:rsidR="004B457F" w:rsidRPr="004B457F">
              <w:t xml:space="preserve"> settings to ensure the appropriate and judicious prescribing, dispensing and administering of antimicrobials.</w:t>
            </w:r>
            <w:bookmarkEnd w:id="8"/>
          </w:p>
        </w:tc>
      </w:tr>
    </w:tbl>
    <w:p w:rsidR="00C02BAA" w:rsidRPr="00A804B4" w:rsidRDefault="00C02BAA" w:rsidP="00C02BAA">
      <w:pPr>
        <w:rPr>
          <w:rFonts w:asciiTheme="minorHAnsi" w:hAnsiTheme="minorHAnsi"/>
        </w:rPr>
      </w:pPr>
    </w:p>
    <w:p w:rsidR="005F7D01" w:rsidRPr="004146B6" w:rsidRDefault="005F7D01" w:rsidP="00445D1A">
      <w:pPr>
        <w:pStyle w:val="Heading3"/>
      </w:pPr>
      <w:r w:rsidRPr="004146B6">
        <w:t>Introduction</w:t>
      </w:r>
    </w:p>
    <w:p w:rsidR="005F7D01" w:rsidRDefault="005F7D01" w:rsidP="00D667C4">
      <w:pPr>
        <w:spacing w:after="120"/>
        <w:rPr>
          <w:rFonts w:asciiTheme="minorHAnsi" w:hAnsiTheme="minorHAnsi"/>
          <w:iCs/>
          <w:color w:val="000000"/>
          <w:lang w:eastAsia="en-AU"/>
        </w:rPr>
      </w:pPr>
      <w:r w:rsidRPr="00BC4768">
        <w:rPr>
          <w:rFonts w:asciiTheme="minorHAnsi" w:hAnsiTheme="minorHAnsi"/>
          <w:iCs/>
          <w:color w:val="000000"/>
          <w:lang w:eastAsia="en-AU"/>
        </w:rPr>
        <w:t>Antimicrobial stewardship (AMS) refers to coordinated actions designed to promote and increase the appr</w:t>
      </w:r>
      <w:r>
        <w:rPr>
          <w:rFonts w:asciiTheme="minorHAnsi" w:hAnsiTheme="minorHAnsi"/>
          <w:iCs/>
          <w:color w:val="000000"/>
          <w:lang w:eastAsia="en-AU"/>
        </w:rPr>
        <w:t>opriate use of antimicrobials.</w:t>
      </w:r>
      <w:r w:rsidR="006E1B21">
        <w:rPr>
          <w:rFonts w:asciiTheme="minorHAnsi" w:hAnsiTheme="minorHAnsi"/>
          <w:iCs/>
          <w:color w:val="000000"/>
          <w:lang w:eastAsia="en-AU"/>
        </w:rPr>
        <w:t xml:space="preserve"> O</w:t>
      </w:r>
      <w:r>
        <w:rPr>
          <w:rFonts w:asciiTheme="minorHAnsi" w:hAnsiTheme="minorHAnsi"/>
          <w:iCs/>
          <w:color w:val="000000"/>
          <w:lang w:eastAsia="en-AU"/>
        </w:rPr>
        <w:t>ptimal AMS program</w:t>
      </w:r>
      <w:r w:rsidRPr="00BC4768">
        <w:rPr>
          <w:rFonts w:asciiTheme="minorHAnsi" w:hAnsiTheme="minorHAnsi"/>
          <w:iCs/>
          <w:color w:val="000000"/>
          <w:lang w:eastAsia="en-AU"/>
        </w:rPr>
        <w:t>s are supported by guidelines, protocols and regulatory frameworks that cover antimicrobial prescription, supply and use, and incorporate monitoring to measure effectiveness and guide improvements.</w:t>
      </w:r>
    </w:p>
    <w:p w:rsidR="005F7D01" w:rsidRPr="004146B6" w:rsidRDefault="005F7D01" w:rsidP="00445D1A">
      <w:pPr>
        <w:pStyle w:val="Heading3"/>
      </w:pPr>
      <w:r w:rsidRPr="004146B6">
        <w:t>What have we achieved?</w:t>
      </w:r>
    </w:p>
    <w:p w:rsidR="00EA78AA" w:rsidRPr="00AE0291" w:rsidRDefault="00EA78AA" w:rsidP="00445D1A">
      <w:pPr>
        <w:pStyle w:val="Heading4"/>
      </w:pPr>
      <w:r w:rsidRPr="00AE0291">
        <w:t>Human Health</w:t>
      </w:r>
    </w:p>
    <w:p w:rsidR="005F7D01" w:rsidRDefault="00F21C41" w:rsidP="00AE0291">
      <w:pPr>
        <w:pStyle w:val="ListParagraph"/>
        <w:numPr>
          <w:ilvl w:val="0"/>
          <w:numId w:val="13"/>
        </w:numPr>
        <w:spacing w:before="120" w:after="120"/>
        <w:ind w:left="714" w:hanging="357"/>
        <w:contextualSpacing w:val="0"/>
        <w:rPr>
          <w:rFonts w:asciiTheme="minorHAnsi" w:hAnsiTheme="minorHAnsi" w:cs="Arial"/>
        </w:rPr>
      </w:pPr>
      <w:r>
        <w:rPr>
          <w:rFonts w:asciiTheme="minorHAnsi" w:hAnsiTheme="minorHAnsi" w:cs="Arial"/>
        </w:rPr>
        <w:t>T</w:t>
      </w:r>
      <w:r w:rsidR="005F7D01">
        <w:rPr>
          <w:rFonts w:asciiTheme="minorHAnsi" w:hAnsiTheme="minorHAnsi" w:cs="Arial"/>
        </w:rPr>
        <w:t xml:space="preserve">here are a range of activities </w:t>
      </w:r>
      <w:r w:rsidR="0036439E">
        <w:rPr>
          <w:rFonts w:asciiTheme="minorHAnsi" w:hAnsiTheme="minorHAnsi" w:cs="Arial"/>
        </w:rPr>
        <w:t xml:space="preserve">in place </w:t>
      </w:r>
      <w:r w:rsidR="005F7D01">
        <w:rPr>
          <w:rFonts w:asciiTheme="minorHAnsi" w:hAnsiTheme="minorHAnsi" w:cs="Arial"/>
        </w:rPr>
        <w:t>to support improved use of antimicrobials in hospitals, including:</w:t>
      </w:r>
    </w:p>
    <w:p w:rsidR="001866D7" w:rsidRDefault="005F163D" w:rsidP="005F163D">
      <w:pPr>
        <w:pStyle w:val="ListParagraph"/>
        <w:numPr>
          <w:ilvl w:val="1"/>
          <w:numId w:val="13"/>
        </w:numPr>
        <w:spacing w:after="120"/>
        <w:contextualSpacing w:val="0"/>
        <w:rPr>
          <w:rFonts w:asciiTheme="minorHAnsi" w:hAnsiTheme="minorHAnsi" w:cs="Arial"/>
        </w:rPr>
      </w:pPr>
      <w:r>
        <w:rPr>
          <w:rFonts w:asciiTheme="minorHAnsi" w:hAnsiTheme="minorHAnsi" w:cs="Arial"/>
        </w:rPr>
        <w:t>m</w:t>
      </w:r>
      <w:r w:rsidRPr="00200987">
        <w:rPr>
          <w:rFonts w:asciiTheme="minorHAnsi" w:hAnsiTheme="minorHAnsi" w:cs="Arial"/>
        </w:rPr>
        <w:t>anda</w:t>
      </w:r>
      <w:r>
        <w:rPr>
          <w:rFonts w:asciiTheme="minorHAnsi" w:hAnsiTheme="minorHAnsi" w:cs="Arial"/>
        </w:rPr>
        <w:t xml:space="preserve">tory compliance with National Safety and Quality Health Service Standards (NSQHS) </w:t>
      </w:r>
      <w:r w:rsidRPr="00F9267A">
        <w:rPr>
          <w:rFonts w:asciiTheme="minorHAnsi" w:hAnsiTheme="minorHAnsi" w:cs="Arial"/>
          <w:i/>
        </w:rPr>
        <w:t>Standard 3: Preventing and Controlling Healthcare Associated Infections</w:t>
      </w:r>
      <w:r>
        <w:rPr>
          <w:rFonts w:asciiTheme="minorHAnsi" w:hAnsiTheme="minorHAnsi" w:cs="Arial"/>
        </w:rPr>
        <w:t>, which includes d</w:t>
      </w:r>
      <w:r w:rsidRPr="00EB1734">
        <w:rPr>
          <w:rFonts w:asciiTheme="minorHAnsi" w:hAnsiTheme="minorHAnsi" w:cs="Arial"/>
        </w:rPr>
        <w:t xml:space="preserve">eveloping, implementing and regularly reviewing the effectiveness of the </w:t>
      </w:r>
      <w:r w:rsidR="000213BE">
        <w:rPr>
          <w:rFonts w:asciiTheme="minorHAnsi" w:hAnsiTheme="minorHAnsi" w:cs="Arial"/>
        </w:rPr>
        <w:t>AMS</w:t>
      </w:r>
      <w:r w:rsidRPr="00EB1734">
        <w:rPr>
          <w:rFonts w:asciiTheme="minorHAnsi" w:hAnsiTheme="minorHAnsi" w:cs="Arial"/>
        </w:rPr>
        <w:t xml:space="preserve"> system. This</w:t>
      </w:r>
      <w:r w:rsidRPr="00F9267A">
        <w:rPr>
          <w:rFonts w:asciiTheme="minorHAnsi" w:hAnsiTheme="minorHAnsi" w:cs="Arial"/>
        </w:rPr>
        <w:t xml:space="preserve"> has</w:t>
      </w:r>
      <w:r>
        <w:rPr>
          <w:rFonts w:asciiTheme="minorHAnsi" w:hAnsiTheme="minorHAnsi" w:cs="Arial"/>
        </w:rPr>
        <w:t xml:space="preserve"> </w:t>
      </w:r>
      <w:r w:rsidRPr="00200987">
        <w:rPr>
          <w:rFonts w:asciiTheme="minorHAnsi" w:hAnsiTheme="minorHAnsi" w:cs="Arial"/>
        </w:rPr>
        <w:t xml:space="preserve">contributed to </w:t>
      </w:r>
      <w:r>
        <w:rPr>
          <w:rFonts w:asciiTheme="minorHAnsi" w:hAnsiTheme="minorHAnsi" w:cs="Arial"/>
        </w:rPr>
        <w:t xml:space="preserve">an </w:t>
      </w:r>
      <w:r w:rsidRPr="00200987">
        <w:rPr>
          <w:rFonts w:asciiTheme="minorHAnsi" w:hAnsiTheme="minorHAnsi" w:cs="Arial"/>
        </w:rPr>
        <w:t xml:space="preserve">increased </w:t>
      </w:r>
      <w:r>
        <w:rPr>
          <w:rFonts w:asciiTheme="minorHAnsi" w:hAnsiTheme="minorHAnsi" w:cs="Arial"/>
        </w:rPr>
        <w:t xml:space="preserve">focus on the implementation of </w:t>
      </w:r>
      <w:r w:rsidRPr="00200987">
        <w:rPr>
          <w:rFonts w:asciiTheme="minorHAnsi" w:hAnsiTheme="minorHAnsi" w:cs="Arial"/>
        </w:rPr>
        <w:t xml:space="preserve">local, state and territory and national </w:t>
      </w:r>
      <w:r>
        <w:rPr>
          <w:rFonts w:asciiTheme="minorHAnsi" w:hAnsiTheme="minorHAnsi" w:cs="Arial"/>
        </w:rPr>
        <w:t>AMS programs as well as infection prevention an</w:t>
      </w:r>
      <w:r w:rsidR="001866D7">
        <w:rPr>
          <w:rFonts w:asciiTheme="minorHAnsi" w:hAnsiTheme="minorHAnsi" w:cs="Arial"/>
        </w:rPr>
        <w:t>d control practice in hospitals;</w:t>
      </w:r>
    </w:p>
    <w:p w:rsidR="005F163D" w:rsidRPr="00F9267A" w:rsidRDefault="001866D7" w:rsidP="005F163D">
      <w:pPr>
        <w:pStyle w:val="ListParagraph"/>
        <w:numPr>
          <w:ilvl w:val="1"/>
          <w:numId w:val="13"/>
        </w:numPr>
        <w:spacing w:after="120"/>
        <w:contextualSpacing w:val="0"/>
        <w:rPr>
          <w:rFonts w:asciiTheme="minorHAnsi" w:hAnsiTheme="minorHAnsi" w:cs="Arial"/>
        </w:rPr>
      </w:pPr>
      <w:r>
        <w:rPr>
          <w:rFonts w:asciiTheme="minorHAnsi" w:hAnsiTheme="minorHAnsi" w:cs="Arial"/>
        </w:rPr>
        <w:t>a</w:t>
      </w:r>
      <w:r w:rsidR="005F163D" w:rsidRPr="00B0030F">
        <w:rPr>
          <w:rFonts w:asciiTheme="minorHAnsi" w:hAnsiTheme="minorHAnsi" w:cs="Arial"/>
        </w:rPr>
        <w:t xml:space="preserve"> suite of tailored resources developed by the Australian Commission on Safety and Quality in Health Care </w:t>
      </w:r>
      <w:r w:rsidR="00E9038A">
        <w:rPr>
          <w:rFonts w:asciiTheme="minorHAnsi" w:hAnsiTheme="minorHAnsi" w:cs="Arial"/>
        </w:rPr>
        <w:t xml:space="preserve">(the Commission) </w:t>
      </w:r>
      <w:r w:rsidR="005F163D" w:rsidRPr="00B0030F">
        <w:rPr>
          <w:rFonts w:asciiTheme="minorHAnsi" w:hAnsiTheme="minorHAnsi" w:cs="Arial"/>
        </w:rPr>
        <w:t>assist with the implementation of Standard 3</w:t>
      </w:r>
      <w:r w:rsidR="005F163D">
        <w:rPr>
          <w:rFonts w:asciiTheme="minorHAnsi" w:hAnsiTheme="minorHAnsi" w:cs="Arial"/>
        </w:rPr>
        <w:t xml:space="preserve">. This includes the </w:t>
      </w:r>
      <w:r w:rsidR="005F163D" w:rsidRPr="00F9267A">
        <w:rPr>
          <w:rFonts w:asciiTheme="minorHAnsi" w:hAnsiTheme="minorHAnsi" w:cs="Arial"/>
          <w:i/>
        </w:rPr>
        <w:t>Antimicrobial Stewardship in Australian Hospitals</w:t>
      </w:r>
      <w:r w:rsidR="005F163D">
        <w:rPr>
          <w:rFonts w:asciiTheme="minorHAnsi" w:hAnsiTheme="minorHAnsi" w:cs="Arial"/>
        </w:rPr>
        <w:t xml:space="preserve"> (2011) </w:t>
      </w:r>
      <w:r w:rsidR="005F163D" w:rsidRPr="00F9267A">
        <w:rPr>
          <w:rFonts w:asciiTheme="minorHAnsi" w:hAnsiTheme="minorHAnsi" w:cs="Arial"/>
        </w:rPr>
        <w:t>handbook</w:t>
      </w:r>
      <w:r w:rsidR="00E9038A">
        <w:rPr>
          <w:rFonts w:asciiTheme="minorHAnsi" w:hAnsiTheme="minorHAnsi" w:cs="Arial"/>
        </w:rPr>
        <w:t>,</w:t>
      </w:r>
      <w:r w:rsidR="005F163D">
        <w:rPr>
          <w:rFonts w:asciiTheme="minorHAnsi" w:hAnsiTheme="minorHAnsi" w:cs="Arial"/>
        </w:rPr>
        <w:t xml:space="preserve"> a</w:t>
      </w:r>
      <w:r w:rsidR="005F163D" w:rsidRPr="00F9267A">
        <w:rPr>
          <w:rFonts w:asciiTheme="minorHAnsi" w:hAnsiTheme="minorHAnsi" w:cs="Arial"/>
        </w:rPr>
        <w:t xml:space="preserve"> new edition </w:t>
      </w:r>
      <w:r w:rsidR="00E9038A">
        <w:rPr>
          <w:rFonts w:asciiTheme="minorHAnsi" w:hAnsiTheme="minorHAnsi" w:cs="Arial"/>
        </w:rPr>
        <w:t xml:space="preserve">of which </w:t>
      </w:r>
      <w:r w:rsidR="005F163D">
        <w:rPr>
          <w:rFonts w:asciiTheme="minorHAnsi" w:hAnsiTheme="minorHAnsi" w:cs="Arial"/>
        </w:rPr>
        <w:t>is due for release in the first half 2018</w:t>
      </w:r>
      <w:r w:rsidR="00DE696C">
        <w:rPr>
          <w:rFonts w:asciiTheme="minorHAnsi" w:hAnsiTheme="minorHAnsi" w:cs="Arial"/>
        </w:rPr>
        <w:t>; and</w:t>
      </w:r>
    </w:p>
    <w:p w:rsidR="005F163D" w:rsidRPr="00F9267A" w:rsidRDefault="005F163D" w:rsidP="005F163D">
      <w:pPr>
        <w:pStyle w:val="ListParagraph"/>
        <w:numPr>
          <w:ilvl w:val="1"/>
          <w:numId w:val="13"/>
        </w:numPr>
        <w:spacing w:after="120"/>
        <w:contextualSpacing w:val="0"/>
        <w:rPr>
          <w:rFonts w:asciiTheme="minorHAnsi" w:hAnsiTheme="minorHAnsi" w:cs="Arial"/>
        </w:rPr>
      </w:pPr>
      <w:r w:rsidRPr="00F9267A">
        <w:rPr>
          <w:rFonts w:asciiTheme="minorHAnsi" w:hAnsiTheme="minorHAnsi" w:cs="Arial"/>
        </w:rPr>
        <w:t xml:space="preserve">participation by hospitals in the National Antimicrobial Prescribing Survey (NAPS) and </w:t>
      </w:r>
      <w:r w:rsidR="00DE696C">
        <w:rPr>
          <w:rFonts w:asciiTheme="minorHAnsi" w:hAnsiTheme="minorHAnsi" w:cs="Arial"/>
        </w:rPr>
        <w:t xml:space="preserve">the National Antimicrobial Use Surveillance </w:t>
      </w:r>
      <w:r w:rsidR="00E9038A">
        <w:rPr>
          <w:rFonts w:asciiTheme="minorHAnsi" w:hAnsiTheme="minorHAnsi" w:cs="Arial"/>
        </w:rPr>
        <w:t>P</w:t>
      </w:r>
      <w:r w:rsidR="00DE696C">
        <w:rPr>
          <w:rFonts w:asciiTheme="minorHAnsi" w:hAnsiTheme="minorHAnsi" w:cs="Arial"/>
        </w:rPr>
        <w:t>rogram (</w:t>
      </w:r>
      <w:r w:rsidRPr="00F9267A">
        <w:rPr>
          <w:rFonts w:asciiTheme="minorHAnsi" w:hAnsiTheme="minorHAnsi" w:cs="Arial"/>
        </w:rPr>
        <w:t>NAUSP</w:t>
      </w:r>
      <w:r w:rsidR="00DE696C">
        <w:rPr>
          <w:rFonts w:asciiTheme="minorHAnsi" w:hAnsiTheme="minorHAnsi" w:cs="Arial"/>
        </w:rPr>
        <w:t>)</w:t>
      </w:r>
      <w:r w:rsidRPr="00F9267A">
        <w:rPr>
          <w:rFonts w:asciiTheme="minorHAnsi" w:hAnsiTheme="minorHAnsi" w:cs="Arial"/>
        </w:rPr>
        <w:t xml:space="preserve">, </w:t>
      </w:r>
      <w:r w:rsidR="00E9038A">
        <w:rPr>
          <w:rFonts w:asciiTheme="minorHAnsi" w:hAnsiTheme="minorHAnsi" w:cs="Arial"/>
        </w:rPr>
        <w:t xml:space="preserve">which are activities that </w:t>
      </w:r>
      <w:r w:rsidR="00DE696C">
        <w:rPr>
          <w:rFonts w:asciiTheme="minorHAnsi" w:hAnsiTheme="minorHAnsi" w:cs="Arial"/>
        </w:rPr>
        <w:t>demonstrate compliance with</w:t>
      </w:r>
      <w:r w:rsidRPr="00F9267A">
        <w:rPr>
          <w:rFonts w:asciiTheme="minorHAnsi" w:hAnsiTheme="minorHAnsi" w:cs="Arial"/>
        </w:rPr>
        <w:t xml:space="preserve"> NSQHS Standard 3. The number of hospitals that contribute to NAUSP </w:t>
      </w:r>
      <w:r w:rsidR="00E9038A">
        <w:rPr>
          <w:rFonts w:asciiTheme="minorHAnsi" w:hAnsiTheme="minorHAnsi" w:cs="Arial"/>
        </w:rPr>
        <w:t xml:space="preserve">is increasing, </w:t>
      </w:r>
      <w:r w:rsidRPr="00F9267A">
        <w:rPr>
          <w:rFonts w:asciiTheme="minorHAnsi" w:hAnsiTheme="minorHAnsi" w:cs="Arial"/>
        </w:rPr>
        <w:t>and around one third of eligible public hospitals now participate in NAPS.</w:t>
      </w:r>
    </w:p>
    <w:p w:rsidR="0090379B" w:rsidRDefault="0090379B" w:rsidP="00F9267A">
      <w:pPr>
        <w:pStyle w:val="ListParagraph"/>
        <w:numPr>
          <w:ilvl w:val="0"/>
          <w:numId w:val="13"/>
        </w:numPr>
        <w:spacing w:after="120"/>
        <w:ind w:left="714" w:hanging="357"/>
        <w:contextualSpacing w:val="0"/>
        <w:rPr>
          <w:rFonts w:asciiTheme="minorHAnsi" w:hAnsiTheme="minorHAnsi" w:cs="Arial"/>
        </w:rPr>
      </w:pPr>
      <w:r>
        <w:rPr>
          <w:rFonts w:asciiTheme="minorHAnsi" w:hAnsiTheme="minorHAnsi" w:cs="Arial"/>
        </w:rPr>
        <w:t>There are a range of activities in place to support improved use of antimicrobials in community settings, including:</w:t>
      </w:r>
    </w:p>
    <w:p w:rsidR="00F9267A" w:rsidRDefault="00404F92" w:rsidP="00F9267A">
      <w:pPr>
        <w:pStyle w:val="ListParagraph"/>
        <w:numPr>
          <w:ilvl w:val="1"/>
          <w:numId w:val="13"/>
        </w:numPr>
        <w:spacing w:after="120"/>
        <w:contextualSpacing w:val="0"/>
        <w:rPr>
          <w:rFonts w:asciiTheme="minorHAnsi" w:hAnsiTheme="minorHAnsi" w:cs="Arial"/>
        </w:rPr>
      </w:pPr>
      <w:r>
        <w:rPr>
          <w:rFonts w:asciiTheme="minorHAnsi" w:hAnsiTheme="minorHAnsi" w:cs="Arial"/>
        </w:rPr>
        <w:t>t</w:t>
      </w:r>
      <w:r w:rsidR="00F9267A">
        <w:rPr>
          <w:rFonts w:asciiTheme="minorHAnsi" w:hAnsiTheme="minorHAnsi" w:cs="Arial"/>
        </w:rPr>
        <w:t>he development of</w:t>
      </w:r>
      <w:r w:rsidR="0011526E">
        <w:rPr>
          <w:rFonts w:asciiTheme="minorHAnsi" w:hAnsiTheme="minorHAnsi" w:cs="Arial"/>
        </w:rPr>
        <w:t xml:space="preserve"> </w:t>
      </w:r>
      <w:r w:rsidR="00DE696C">
        <w:rPr>
          <w:rFonts w:asciiTheme="minorHAnsi" w:hAnsiTheme="minorHAnsi" w:cs="Arial"/>
        </w:rPr>
        <w:t xml:space="preserve">a range of </w:t>
      </w:r>
      <w:r>
        <w:rPr>
          <w:rFonts w:asciiTheme="minorHAnsi" w:hAnsiTheme="minorHAnsi" w:cs="Arial"/>
        </w:rPr>
        <w:t>p</w:t>
      </w:r>
      <w:r w:rsidR="00F9267A">
        <w:rPr>
          <w:rFonts w:asciiTheme="minorHAnsi" w:hAnsiTheme="minorHAnsi" w:cs="Arial"/>
        </w:rPr>
        <w:t xml:space="preserve">atient </w:t>
      </w:r>
      <w:r>
        <w:rPr>
          <w:rFonts w:asciiTheme="minorHAnsi" w:hAnsiTheme="minorHAnsi" w:cs="Arial"/>
        </w:rPr>
        <w:t>d</w:t>
      </w:r>
      <w:r w:rsidR="00F9267A">
        <w:rPr>
          <w:rFonts w:asciiTheme="minorHAnsi" w:hAnsiTheme="minorHAnsi" w:cs="Arial"/>
        </w:rPr>
        <w:t xml:space="preserve">ecision </w:t>
      </w:r>
      <w:r>
        <w:rPr>
          <w:rFonts w:asciiTheme="minorHAnsi" w:hAnsiTheme="minorHAnsi" w:cs="Arial"/>
        </w:rPr>
        <w:t>a</w:t>
      </w:r>
      <w:r w:rsidR="00F9267A">
        <w:rPr>
          <w:rFonts w:asciiTheme="minorHAnsi" w:hAnsiTheme="minorHAnsi" w:cs="Arial"/>
        </w:rPr>
        <w:t xml:space="preserve">ids, available </w:t>
      </w:r>
      <w:r w:rsidR="005F2E27">
        <w:rPr>
          <w:rFonts w:asciiTheme="minorHAnsi" w:hAnsiTheme="minorHAnsi" w:cs="Arial"/>
        </w:rPr>
        <w:t>on</w:t>
      </w:r>
      <w:r w:rsidR="00F9267A">
        <w:rPr>
          <w:rFonts w:asciiTheme="minorHAnsi" w:hAnsiTheme="minorHAnsi" w:cs="Arial"/>
        </w:rPr>
        <w:t xml:space="preserve"> the </w:t>
      </w:r>
      <w:r>
        <w:rPr>
          <w:rFonts w:asciiTheme="minorHAnsi" w:hAnsiTheme="minorHAnsi" w:cs="Arial"/>
        </w:rPr>
        <w:t>Commission</w:t>
      </w:r>
      <w:r w:rsidR="00F9267A">
        <w:rPr>
          <w:rFonts w:asciiTheme="minorHAnsi" w:hAnsiTheme="minorHAnsi" w:cs="Arial"/>
        </w:rPr>
        <w:t xml:space="preserve">’s </w:t>
      </w:r>
      <w:hyperlink r:id="rId18" w:history="1">
        <w:r w:rsidR="00F9267A" w:rsidRPr="00404F92">
          <w:rPr>
            <w:rStyle w:val="Hyperlink"/>
            <w:rFonts w:asciiTheme="minorHAnsi" w:hAnsiTheme="minorHAnsi" w:cs="Arial"/>
          </w:rPr>
          <w:t>website</w:t>
        </w:r>
      </w:hyperlink>
      <w:r w:rsidR="00F9267A">
        <w:rPr>
          <w:rFonts w:asciiTheme="minorHAnsi" w:hAnsiTheme="minorHAnsi" w:cs="Arial"/>
        </w:rPr>
        <w:t xml:space="preserve">, to support GPs to engage in shared decision making with patients on </w:t>
      </w:r>
      <w:r>
        <w:rPr>
          <w:rFonts w:asciiTheme="minorHAnsi" w:hAnsiTheme="minorHAnsi" w:cs="Arial"/>
        </w:rPr>
        <w:t xml:space="preserve">treatment options for </w:t>
      </w:r>
      <w:r w:rsidR="00F9267A">
        <w:rPr>
          <w:rFonts w:asciiTheme="minorHAnsi" w:hAnsiTheme="minorHAnsi" w:cs="Arial"/>
        </w:rPr>
        <w:t>sore throat, middle ear complaints and acute bronchitis.</w:t>
      </w:r>
    </w:p>
    <w:p w:rsidR="0090379B" w:rsidRDefault="00404F92" w:rsidP="00F9267A">
      <w:pPr>
        <w:pStyle w:val="ListParagraph"/>
        <w:numPr>
          <w:ilvl w:val="1"/>
          <w:numId w:val="13"/>
        </w:numPr>
        <w:spacing w:after="120"/>
        <w:contextualSpacing w:val="0"/>
        <w:rPr>
          <w:rFonts w:asciiTheme="minorHAnsi" w:hAnsiTheme="minorHAnsi" w:cs="Arial"/>
        </w:rPr>
      </w:pPr>
      <w:r>
        <w:rPr>
          <w:rFonts w:asciiTheme="minorHAnsi" w:hAnsiTheme="minorHAnsi" w:cs="Arial"/>
        </w:rPr>
        <w:t xml:space="preserve">the </w:t>
      </w:r>
      <w:r w:rsidR="0090379B">
        <w:rPr>
          <w:rFonts w:asciiTheme="minorHAnsi" w:hAnsiTheme="minorHAnsi" w:cs="Arial"/>
        </w:rPr>
        <w:t>NPS MedicineWise</w:t>
      </w:r>
      <w:r w:rsidR="000213BE">
        <w:rPr>
          <w:rFonts w:asciiTheme="minorHAnsi" w:hAnsiTheme="minorHAnsi" w:cs="Arial"/>
        </w:rPr>
        <w:t xml:space="preserve"> </w:t>
      </w:r>
      <w:r w:rsidR="0090379B">
        <w:rPr>
          <w:rFonts w:asciiTheme="minorHAnsi" w:hAnsiTheme="minorHAnsi" w:cs="Arial"/>
        </w:rPr>
        <w:t>MedicineInsight program</w:t>
      </w:r>
      <w:r>
        <w:rPr>
          <w:rFonts w:asciiTheme="minorHAnsi" w:hAnsiTheme="minorHAnsi" w:cs="Arial"/>
        </w:rPr>
        <w:t>,</w:t>
      </w:r>
      <w:r w:rsidR="0090379B">
        <w:rPr>
          <w:rFonts w:asciiTheme="minorHAnsi" w:hAnsiTheme="minorHAnsi" w:cs="Arial"/>
        </w:rPr>
        <w:t xml:space="preserve"> which provides information on patterns of systemic antimicrobial use and the appropriateness of prescribing for specific conditions</w:t>
      </w:r>
      <w:r w:rsidR="00CC73E9">
        <w:rPr>
          <w:rFonts w:asciiTheme="minorHAnsi" w:hAnsiTheme="minorHAnsi" w:cs="Arial"/>
        </w:rPr>
        <w:t xml:space="preserve"> among primary care providers</w:t>
      </w:r>
      <w:r w:rsidR="0090379B">
        <w:rPr>
          <w:rFonts w:asciiTheme="minorHAnsi" w:hAnsiTheme="minorHAnsi" w:cs="Arial"/>
        </w:rPr>
        <w:t xml:space="preserve">. The MedicineInsight program </w:t>
      </w:r>
      <w:r w:rsidR="00CC73E9">
        <w:rPr>
          <w:rFonts w:asciiTheme="minorHAnsi" w:hAnsiTheme="minorHAnsi" w:cs="Arial"/>
        </w:rPr>
        <w:t>currently has over 600 participating general practices;</w:t>
      </w:r>
    </w:p>
    <w:p w:rsidR="0090379B" w:rsidRDefault="0090379B" w:rsidP="00F9267A">
      <w:pPr>
        <w:pStyle w:val="ListParagraph"/>
        <w:numPr>
          <w:ilvl w:val="1"/>
          <w:numId w:val="13"/>
        </w:numPr>
        <w:spacing w:after="120"/>
        <w:contextualSpacing w:val="0"/>
        <w:rPr>
          <w:rFonts w:asciiTheme="minorHAnsi" w:hAnsiTheme="minorHAnsi" w:cs="Arial"/>
        </w:rPr>
      </w:pPr>
      <w:r>
        <w:rPr>
          <w:rFonts w:asciiTheme="minorHAnsi" w:hAnsiTheme="minorHAnsi" w:cs="Arial"/>
        </w:rPr>
        <w:lastRenderedPageBreak/>
        <w:t xml:space="preserve">NPS </w:t>
      </w:r>
      <w:r w:rsidR="00404F92">
        <w:rPr>
          <w:rFonts w:asciiTheme="minorHAnsi" w:hAnsiTheme="minorHAnsi" w:cs="Arial"/>
        </w:rPr>
        <w:t xml:space="preserve">MedicineWise </w:t>
      </w:r>
      <w:r>
        <w:rPr>
          <w:rFonts w:asciiTheme="minorHAnsi" w:hAnsiTheme="minorHAnsi" w:cs="Arial"/>
        </w:rPr>
        <w:t xml:space="preserve">e-audits of general practice prescribing, which assist GPs </w:t>
      </w:r>
      <w:r w:rsidR="00CC73E9">
        <w:rPr>
          <w:rFonts w:asciiTheme="minorHAnsi" w:hAnsiTheme="minorHAnsi" w:cs="Arial"/>
        </w:rPr>
        <w:t xml:space="preserve">to </w:t>
      </w:r>
      <w:r>
        <w:rPr>
          <w:rFonts w:asciiTheme="minorHAnsi" w:hAnsiTheme="minorHAnsi" w:cs="Arial"/>
        </w:rPr>
        <w:t>review their current prescribing practice</w:t>
      </w:r>
      <w:r w:rsidR="00404F92">
        <w:rPr>
          <w:rFonts w:asciiTheme="minorHAnsi" w:hAnsiTheme="minorHAnsi" w:cs="Arial"/>
        </w:rPr>
        <w:t>s</w:t>
      </w:r>
      <w:r>
        <w:rPr>
          <w:rFonts w:asciiTheme="minorHAnsi" w:hAnsiTheme="minorHAnsi" w:cs="Arial"/>
        </w:rPr>
        <w:t xml:space="preserve"> and compare</w:t>
      </w:r>
      <w:r w:rsidR="00CC73E9">
        <w:rPr>
          <w:rFonts w:asciiTheme="minorHAnsi" w:hAnsiTheme="minorHAnsi" w:cs="Arial"/>
        </w:rPr>
        <w:t xml:space="preserve"> them</w:t>
      </w:r>
      <w:r>
        <w:rPr>
          <w:rFonts w:asciiTheme="minorHAnsi" w:hAnsiTheme="minorHAnsi" w:cs="Arial"/>
        </w:rPr>
        <w:t xml:space="preserve"> to therapeutic guidelines</w:t>
      </w:r>
      <w:r w:rsidR="00CC73E9">
        <w:rPr>
          <w:rFonts w:asciiTheme="minorHAnsi" w:hAnsiTheme="minorHAnsi" w:cs="Arial"/>
        </w:rPr>
        <w:t xml:space="preserve">. NPS </w:t>
      </w:r>
      <w:r w:rsidR="00404F92">
        <w:rPr>
          <w:rFonts w:asciiTheme="minorHAnsi" w:hAnsiTheme="minorHAnsi" w:cs="Arial"/>
        </w:rPr>
        <w:t xml:space="preserve">MedicineWise </w:t>
      </w:r>
      <w:r w:rsidR="00CC73E9">
        <w:rPr>
          <w:rFonts w:asciiTheme="minorHAnsi" w:hAnsiTheme="minorHAnsi" w:cs="Arial"/>
        </w:rPr>
        <w:t>provides</w:t>
      </w:r>
      <w:r>
        <w:rPr>
          <w:rFonts w:asciiTheme="minorHAnsi" w:hAnsiTheme="minorHAnsi" w:cs="Arial"/>
        </w:rPr>
        <w:t xml:space="preserve"> continuing professional development for GPs, pharmacists and nurses on aspects of antimicrobial use;</w:t>
      </w:r>
      <w:r w:rsidR="00404F92">
        <w:rPr>
          <w:rFonts w:asciiTheme="minorHAnsi" w:hAnsiTheme="minorHAnsi" w:cs="Arial"/>
        </w:rPr>
        <w:t xml:space="preserve"> and</w:t>
      </w:r>
    </w:p>
    <w:p w:rsidR="0090379B" w:rsidRPr="00F9267A" w:rsidRDefault="00404F92" w:rsidP="00F9267A">
      <w:pPr>
        <w:pStyle w:val="ListParagraph"/>
        <w:numPr>
          <w:ilvl w:val="1"/>
          <w:numId w:val="13"/>
        </w:numPr>
        <w:spacing w:after="120"/>
        <w:contextualSpacing w:val="0"/>
        <w:rPr>
          <w:rFonts w:asciiTheme="minorHAnsi" w:hAnsiTheme="minorHAnsi" w:cs="Arial"/>
        </w:rPr>
      </w:pPr>
      <w:r>
        <w:rPr>
          <w:rFonts w:asciiTheme="minorHAnsi" w:hAnsiTheme="minorHAnsi" w:cs="Arial"/>
        </w:rPr>
        <w:t>f</w:t>
      </w:r>
      <w:r w:rsidR="0090379B" w:rsidRPr="00F9267A">
        <w:rPr>
          <w:rFonts w:asciiTheme="minorHAnsi" w:hAnsiTheme="minorHAnsi" w:cs="Arial"/>
        </w:rPr>
        <w:t>ollowing</w:t>
      </w:r>
      <w:r w:rsidR="00B94802">
        <w:rPr>
          <w:rFonts w:asciiTheme="minorHAnsi" w:hAnsiTheme="minorHAnsi" w:cs="Arial"/>
        </w:rPr>
        <w:t xml:space="preserve"> a</w:t>
      </w:r>
      <w:r w:rsidR="0090379B" w:rsidRPr="00F9267A">
        <w:rPr>
          <w:rFonts w:asciiTheme="minorHAnsi" w:hAnsiTheme="minorHAnsi" w:cs="Arial"/>
        </w:rPr>
        <w:t xml:space="preserve"> successful pilot in 2015, the Aged Care National Antimicrobial Prescribing Survey (acNAPS)</w:t>
      </w:r>
      <w:r w:rsidR="00B94802">
        <w:rPr>
          <w:rFonts w:asciiTheme="minorHAnsi" w:hAnsiTheme="minorHAnsi" w:cs="Arial"/>
        </w:rPr>
        <w:t>,</w:t>
      </w:r>
      <w:r w:rsidR="0090379B" w:rsidRPr="00F9267A">
        <w:rPr>
          <w:rFonts w:asciiTheme="minorHAnsi" w:hAnsiTheme="minorHAnsi" w:cs="Arial"/>
        </w:rPr>
        <w:t xml:space="preserve"> </w:t>
      </w:r>
      <w:r>
        <w:rPr>
          <w:rFonts w:asciiTheme="minorHAnsi" w:hAnsiTheme="minorHAnsi" w:cs="Arial"/>
        </w:rPr>
        <w:t xml:space="preserve">which is a survey </w:t>
      </w:r>
      <w:r w:rsidR="00B94802" w:rsidRPr="00F9267A">
        <w:rPr>
          <w:rFonts w:asciiTheme="minorHAnsi" w:hAnsiTheme="minorHAnsi" w:cs="Arial"/>
        </w:rPr>
        <w:t>of aged care home prescribin</w:t>
      </w:r>
      <w:r>
        <w:rPr>
          <w:rFonts w:asciiTheme="minorHAnsi" w:hAnsiTheme="minorHAnsi" w:cs="Arial"/>
        </w:rPr>
        <w:t>g</w:t>
      </w:r>
      <w:r w:rsidR="00B94802">
        <w:rPr>
          <w:rFonts w:asciiTheme="minorHAnsi" w:hAnsiTheme="minorHAnsi" w:cs="Arial"/>
        </w:rPr>
        <w:t>,</w:t>
      </w:r>
      <w:r w:rsidR="00B94802" w:rsidRPr="00F9267A">
        <w:rPr>
          <w:rFonts w:asciiTheme="minorHAnsi" w:hAnsiTheme="minorHAnsi" w:cs="Arial"/>
        </w:rPr>
        <w:t xml:space="preserve"> </w:t>
      </w:r>
      <w:r w:rsidR="0090379B" w:rsidRPr="00F9267A">
        <w:rPr>
          <w:rFonts w:asciiTheme="minorHAnsi" w:hAnsiTheme="minorHAnsi" w:cs="Arial"/>
        </w:rPr>
        <w:t xml:space="preserve">was </w:t>
      </w:r>
      <w:r w:rsidR="00B94802">
        <w:rPr>
          <w:rFonts w:asciiTheme="minorHAnsi" w:hAnsiTheme="minorHAnsi" w:cs="Arial"/>
        </w:rPr>
        <w:t>undertaken in 2016,</w:t>
      </w:r>
      <w:r w:rsidR="0090379B" w:rsidRPr="00F9267A">
        <w:rPr>
          <w:rFonts w:asciiTheme="minorHAnsi" w:hAnsiTheme="minorHAnsi" w:cs="Arial"/>
        </w:rPr>
        <w:t xml:space="preserve"> with 251 aged care homes participating</w:t>
      </w:r>
      <w:r w:rsidR="00B94802">
        <w:rPr>
          <w:rFonts w:asciiTheme="minorHAnsi" w:hAnsiTheme="minorHAnsi" w:cs="Arial"/>
        </w:rPr>
        <w:t>.</w:t>
      </w:r>
      <w:r w:rsidR="00C32BEF" w:rsidRPr="00F9267A">
        <w:rPr>
          <w:rFonts w:asciiTheme="minorHAnsi" w:hAnsiTheme="minorHAnsi" w:cs="Arial"/>
        </w:rPr>
        <w:t xml:space="preserve"> Th</w:t>
      </w:r>
      <w:r w:rsidR="00B94802">
        <w:rPr>
          <w:rFonts w:asciiTheme="minorHAnsi" w:hAnsiTheme="minorHAnsi" w:cs="Arial"/>
        </w:rPr>
        <w:t>ere will also be</w:t>
      </w:r>
      <w:r w:rsidR="00C32BEF" w:rsidRPr="00F9267A">
        <w:rPr>
          <w:rFonts w:asciiTheme="minorHAnsi" w:hAnsiTheme="minorHAnsi" w:cs="Arial"/>
        </w:rPr>
        <w:t xml:space="preserve"> a pilot general practice survey</w:t>
      </w:r>
      <w:r w:rsidR="00B94802">
        <w:rPr>
          <w:rFonts w:asciiTheme="minorHAnsi" w:hAnsiTheme="minorHAnsi" w:cs="Arial"/>
        </w:rPr>
        <w:t xml:space="preserve"> </w:t>
      </w:r>
      <w:r w:rsidR="00105313">
        <w:rPr>
          <w:rFonts w:asciiTheme="minorHAnsi" w:hAnsiTheme="minorHAnsi" w:cs="Arial"/>
        </w:rPr>
        <w:t xml:space="preserve">(gpNAPS) </w:t>
      </w:r>
      <w:r w:rsidR="00C32BEF" w:rsidRPr="00F9267A">
        <w:rPr>
          <w:rFonts w:asciiTheme="minorHAnsi" w:hAnsiTheme="minorHAnsi" w:cs="Arial"/>
        </w:rPr>
        <w:t>in 2017.</w:t>
      </w:r>
    </w:p>
    <w:p w:rsidR="00375CE8" w:rsidRPr="00AE0291" w:rsidRDefault="00375CE8" w:rsidP="00445D1A">
      <w:pPr>
        <w:pStyle w:val="Heading4"/>
      </w:pPr>
      <w:r w:rsidRPr="00AE0291">
        <w:t>Animal Health and Agriculture</w:t>
      </w:r>
    </w:p>
    <w:p w:rsidR="00927199" w:rsidRPr="006A3766" w:rsidRDefault="004973FC" w:rsidP="001F1858">
      <w:pPr>
        <w:pStyle w:val="ListParagraph"/>
        <w:numPr>
          <w:ilvl w:val="0"/>
          <w:numId w:val="13"/>
        </w:numPr>
        <w:spacing w:after="120"/>
        <w:ind w:left="714" w:hanging="357"/>
        <w:contextualSpacing w:val="0"/>
        <w:rPr>
          <w:rFonts w:asciiTheme="minorHAnsi" w:hAnsiTheme="minorHAnsi" w:cs="Arial"/>
        </w:rPr>
      </w:pPr>
      <w:r w:rsidRPr="006A3766">
        <w:rPr>
          <w:rFonts w:asciiTheme="minorHAnsi" w:hAnsiTheme="minorHAnsi" w:cs="Arial"/>
        </w:rPr>
        <w:t>T</w:t>
      </w:r>
      <w:r w:rsidR="00927199" w:rsidRPr="006A3766">
        <w:rPr>
          <w:rFonts w:asciiTheme="minorHAnsi" w:hAnsiTheme="minorHAnsi" w:cs="Arial"/>
        </w:rPr>
        <w:t>he Australian Veterinary Association</w:t>
      </w:r>
      <w:r w:rsidR="000213BE" w:rsidRPr="006A3766">
        <w:rPr>
          <w:rFonts w:asciiTheme="minorHAnsi" w:hAnsiTheme="minorHAnsi" w:cs="Arial"/>
        </w:rPr>
        <w:t xml:space="preserve"> (AVA)</w:t>
      </w:r>
      <w:r w:rsidR="00927199" w:rsidRPr="006A3766">
        <w:rPr>
          <w:rFonts w:asciiTheme="minorHAnsi" w:hAnsiTheme="minorHAnsi" w:cs="Arial"/>
        </w:rPr>
        <w:t xml:space="preserve"> and Animal Medicines Australia are jointly funding the development of best practice </w:t>
      </w:r>
      <w:r w:rsidR="002A03E9" w:rsidRPr="006A3766">
        <w:rPr>
          <w:rFonts w:asciiTheme="minorHAnsi" w:hAnsiTheme="minorHAnsi" w:cs="Arial"/>
        </w:rPr>
        <w:t xml:space="preserve">antibiotic </w:t>
      </w:r>
      <w:r w:rsidR="00927199" w:rsidRPr="006A3766">
        <w:rPr>
          <w:rFonts w:asciiTheme="minorHAnsi" w:hAnsiTheme="minorHAnsi" w:cs="Arial"/>
        </w:rPr>
        <w:t>prescribing guidelines for production animals (beef cattle, feedlot cattle, dairy cattle, sh</w:t>
      </w:r>
      <w:r w:rsidR="00D667C4" w:rsidRPr="006A3766">
        <w:rPr>
          <w:rFonts w:asciiTheme="minorHAnsi" w:hAnsiTheme="minorHAnsi" w:cs="Arial"/>
        </w:rPr>
        <w:t>eep and</w:t>
      </w:r>
      <w:r w:rsidR="00105313" w:rsidRPr="006A3766">
        <w:rPr>
          <w:rFonts w:asciiTheme="minorHAnsi" w:hAnsiTheme="minorHAnsi" w:cs="Arial"/>
        </w:rPr>
        <w:t xml:space="preserve"> poultry) and horses.</w:t>
      </w:r>
    </w:p>
    <w:p w:rsidR="00927199" w:rsidRPr="00D34586" w:rsidRDefault="004973FC" w:rsidP="001F1858">
      <w:pPr>
        <w:pStyle w:val="ListParagraph"/>
        <w:numPr>
          <w:ilvl w:val="0"/>
          <w:numId w:val="13"/>
        </w:numPr>
        <w:spacing w:after="120"/>
        <w:ind w:left="714" w:hanging="357"/>
        <w:contextualSpacing w:val="0"/>
        <w:rPr>
          <w:rFonts w:asciiTheme="minorHAnsi" w:hAnsiTheme="minorHAnsi" w:cs="Arial"/>
        </w:rPr>
      </w:pPr>
      <w:r>
        <w:rPr>
          <w:rFonts w:asciiTheme="minorHAnsi" w:hAnsiTheme="minorHAnsi" w:cs="Arial"/>
        </w:rPr>
        <w:t>T</w:t>
      </w:r>
      <w:r w:rsidR="00927199" w:rsidRPr="00D34586">
        <w:rPr>
          <w:rFonts w:asciiTheme="minorHAnsi" w:hAnsiTheme="minorHAnsi" w:cs="Arial"/>
        </w:rPr>
        <w:t xml:space="preserve">he </w:t>
      </w:r>
      <w:r w:rsidR="000213BE">
        <w:rPr>
          <w:rFonts w:asciiTheme="minorHAnsi" w:hAnsiTheme="minorHAnsi" w:cs="Arial"/>
        </w:rPr>
        <w:t>AVA</w:t>
      </w:r>
      <w:r w:rsidR="00927199" w:rsidRPr="00D34586">
        <w:rPr>
          <w:rFonts w:asciiTheme="minorHAnsi" w:hAnsiTheme="minorHAnsi" w:cs="Arial"/>
        </w:rPr>
        <w:t xml:space="preserve"> is coordinating a </w:t>
      </w:r>
      <w:hyperlink r:id="rId19" w:history="1">
        <w:r w:rsidR="00927199" w:rsidRPr="001F1858">
          <w:rPr>
            <w:rFonts w:asciiTheme="minorHAnsi" w:hAnsiTheme="minorHAnsi" w:cs="Arial"/>
          </w:rPr>
          <w:t xml:space="preserve">trial of an </w:t>
        </w:r>
        <w:r w:rsidR="000213BE">
          <w:rPr>
            <w:rFonts w:asciiTheme="minorHAnsi" w:hAnsiTheme="minorHAnsi" w:cs="Arial"/>
          </w:rPr>
          <w:t>AMS</w:t>
        </w:r>
        <w:r w:rsidR="00927199" w:rsidRPr="001F1858">
          <w:rPr>
            <w:rFonts w:asciiTheme="minorHAnsi" w:hAnsiTheme="minorHAnsi" w:cs="Arial"/>
          </w:rPr>
          <w:t xml:space="preserve"> program</w:t>
        </w:r>
      </w:hyperlink>
      <w:r w:rsidR="00927199" w:rsidRPr="00D34586">
        <w:rPr>
          <w:rFonts w:asciiTheme="minorHAnsi" w:hAnsiTheme="minorHAnsi" w:cs="Arial"/>
        </w:rPr>
        <w:t xml:space="preserve"> with companion animal practices in Canberra.</w:t>
      </w:r>
      <w:r w:rsidR="00CA5473">
        <w:rPr>
          <w:rFonts w:asciiTheme="minorHAnsi" w:hAnsiTheme="minorHAnsi" w:cs="Arial"/>
        </w:rPr>
        <w:t xml:space="preserve"> </w:t>
      </w:r>
      <w:r w:rsidR="00CA5473" w:rsidRPr="00420F48">
        <w:rPr>
          <w:rFonts w:asciiTheme="minorHAnsi" w:hAnsiTheme="minorHAnsi"/>
        </w:rPr>
        <w:t xml:space="preserve">The project looks at prescribing activity over a 12 month period, comparing prescribing behaviour before and after the participants receive training in </w:t>
      </w:r>
      <w:r w:rsidR="00CA5473">
        <w:rPr>
          <w:rFonts w:asciiTheme="minorHAnsi" w:hAnsiTheme="minorHAnsi"/>
        </w:rPr>
        <w:t>AMS.</w:t>
      </w:r>
      <w:r w:rsidR="00927199" w:rsidRPr="00D34586">
        <w:rPr>
          <w:rFonts w:asciiTheme="minorHAnsi" w:hAnsiTheme="minorHAnsi" w:cs="Arial"/>
        </w:rPr>
        <w:t xml:space="preserve"> The results should be ready for collation and publication </w:t>
      </w:r>
      <w:r w:rsidR="00927199">
        <w:rPr>
          <w:rFonts w:asciiTheme="minorHAnsi" w:hAnsiTheme="minorHAnsi" w:cs="Arial"/>
        </w:rPr>
        <w:t xml:space="preserve">in </w:t>
      </w:r>
      <w:r w:rsidR="00927199" w:rsidRPr="00D34586">
        <w:rPr>
          <w:rFonts w:asciiTheme="minorHAnsi" w:hAnsiTheme="minorHAnsi" w:cs="Arial"/>
        </w:rPr>
        <w:t>late 2017</w:t>
      </w:r>
      <w:r w:rsidR="00927199">
        <w:rPr>
          <w:rFonts w:asciiTheme="minorHAnsi" w:hAnsiTheme="minorHAnsi" w:cs="Arial"/>
        </w:rPr>
        <w:t xml:space="preserve"> </w:t>
      </w:r>
      <w:r w:rsidR="00927199" w:rsidRPr="00D34586">
        <w:rPr>
          <w:rFonts w:asciiTheme="minorHAnsi" w:hAnsiTheme="minorHAnsi" w:cs="Arial"/>
        </w:rPr>
        <w:t xml:space="preserve">or </w:t>
      </w:r>
      <w:r w:rsidR="00105313">
        <w:rPr>
          <w:rFonts w:asciiTheme="minorHAnsi" w:hAnsiTheme="minorHAnsi" w:cs="Arial"/>
        </w:rPr>
        <w:t>early 2018.</w:t>
      </w:r>
    </w:p>
    <w:p w:rsidR="00927199" w:rsidRPr="00926556" w:rsidRDefault="004973FC" w:rsidP="001F1858">
      <w:pPr>
        <w:pStyle w:val="ListParagraph"/>
        <w:numPr>
          <w:ilvl w:val="0"/>
          <w:numId w:val="13"/>
        </w:numPr>
        <w:spacing w:after="120"/>
        <w:ind w:left="714" w:hanging="357"/>
        <w:contextualSpacing w:val="0"/>
        <w:rPr>
          <w:rFonts w:asciiTheme="minorHAnsi" w:hAnsiTheme="minorHAnsi" w:cs="Arial"/>
        </w:rPr>
      </w:pPr>
      <w:r>
        <w:rPr>
          <w:rFonts w:asciiTheme="minorHAnsi" w:hAnsiTheme="minorHAnsi" w:cs="Arial"/>
        </w:rPr>
        <w:t>T</w:t>
      </w:r>
      <w:r w:rsidR="00927199" w:rsidRPr="00926556">
        <w:rPr>
          <w:rFonts w:asciiTheme="minorHAnsi" w:hAnsiTheme="minorHAnsi" w:cs="Arial"/>
        </w:rPr>
        <w:t xml:space="preserve">he Australian Chicken Meat Federation and Rural Industries Research and Development Corporation are collaborating on a range of initiatives, including an </w:t>
      </w:r>
      <w:r w:rsidR="000213BE">
        <w:rPr>
          <w:rFonts w:asciiTheme="minorHAnsi" w:hAnsiTheme="minorHAnsi" w:cs="Arial"/>
        </w:rPr>
        <w:t>AMS</w:t>
      </w:r>
      <w:r w:rsidR="00927199" w:rsidRPr="00926556">
        <w:rPr>
          <w:rFonts w:asciiTheme="minorHAnsi" w:hAnsiTheme="minorHAnsi" w:cs="Arial"/>
        </w:rPr>
        <w:t xml:space="preserve"> framework, a review of </w:t>
      </w:r>
      <w:r w:rsidR="000213BE">
        <w:rPr>
          <w:rFonts w:asciiTheme="minorHAnsi" w:hAnsiTheme="minorHAnsi" w:cs="Arial"/>
        </w:rPr>
        <w:t>AMS</w:t>
      </w:r>
      <w:r w:rsidR="00927199" w:rsidRPr="00926556">
        <w:rPr>
          <w:rFonts w:asciiTheme="minorHAnsi" w:hAnsiTheme="minorHAnsi" w:cs="Arial"/>
        </w:rPr>
        <w:t xml:space="preserve"> implementation and external verification of programs within each of the major chicken meat companies, </w:t>
      </w:r>
      <w:r w:rsidR="00927199">
        <w:rPr>
          <w:rFonts w:asciiTheme="minorHAnsi" w:hAnsiTheme="minorHAnsi" w:cs="Arial"/>
        </w:rPr>
        <w:t xml:space="preserve">and </w:t>
      </w:r>
      <w:r w:rsidR="00927199" w:rsidRPr="00926556">
        <w:rPr>
          <w:rFonts w:asciiTheme="minorHAnsi" w:hAnsiTheme="minorHAnsi" w:cs="Arial"/>
        </w:rPr>
        <w:t xml:space="preserve">development of evidence-based resources to support the implementation of a chicken meat </w:t>
      </w:r>
      <w:r w:rsidR="00927199">
        <w:rPr>
          <w:rFonts w:asciiTheme="minorHAnsi" w:hAnsiTheme="minorHAnsi" w:cs="Arial"/>
        </w:rPr>
        <w:t xml:space="preserve">stewardship framework </w:t>
      </w:r>
      <w:r w:rsidR="00927199" w:rsidRPr="00926556">
        <w:rPr>
          <w:rFonts w:asciiTheme="minorHAnsi" w:hAnsiTheme="minorHAnsi" w:cs="Arial"/>
        </w:rPr>
        <w:t>that can be easily tailored for other poultry meat industries e.g. turkey</w:t>
      </w:r>
      <w:r w:rsidR="00105313">
        <w:rPr>
          <w:rFonts w:asciiTheme="minorHAnsi" w:hAnsiTheme="minorHAnsi" w:cs="Arial"/>
        </w:rPr>
        <w:t>.</w:t>
      </w:r>
    </w:p>
    <w:p w:rsidR="00927199" w:rsidRPr="00D34586" w:rsidRDefault="004973FC" w:rsidP="001F1858">
      <w:pPr>
        <w:pStyle w:val="ListParagraph"/>
        <w:numPr>
          <w:ilvl w:val="0"/>
          <w:numId w:val="13"/>
        </w:numPr>
        <w:spacing w:after="120"/>
        <w:ind w:left="714" w:hanging="357"/>
        <w:contextualSpacing w:val="0"/>
        <w:rPr>
          <w:rFonts w:asciiTheme="minorHAnsi" w:hAnsiTheme="minorHAnsi" w:cs="Arial"/>
        </w:rPr>
      </w:pPr>
      <w:r>
        <w:rPr>
          <w:rFonts w:asciiTheme="minorHAnsi" w:hAnsiTheme="minorHAnsi" w:cs="Arial"/>
        </w:rPr>
        <w:t>T</w:t>
      </w:r>
      <w:r w:rsidR="00927199" w:rsidRPr="00D34586">
        <w:rPr>
          <w:rFonts w:asciiTheme="minorHAnsi" w:hAnsiTheme="minorHAnsi" w:cs="Arial"/>
        </w:rPr>
        <w:t xml:space="preserve">he Australian Chicken Meat Federation, Meat &amp; Livestock Australia, Australian Pork Limited, </w:t>
      </w:r>
      <w:r w:rsidR="00F715D5">
        <w:rPr>
          <w:rFonts w:asciiTheme="minorHAnsi" w:hAnsiTheme="minorHAnsi" w:cs="Arial"/>
        </w:rPr>
        <w:t xml:space="preserve">and </w:t>
      </w:r>
      <w:r w:rsidR="00927199" w:rsidRPr="00D34586">
        <w:rPr>
          <w:rFonts w:asciiTheme="minorHAnsi" w:hAnsiTheme="minorHAnsi" w:cs="Arial"/>
        </w:rPr>
        <w:t xml:space="preserve">Australian Eggs Limited </w:t>
      </w:r>
      <w:r w:rsidR="00927199">
        <w:rPr>
          <w:rFonts w:asciiTheme="minorHAnsi" w:hAnsiTheme="minorHAnsi" w:cs="Arial"/>
        </w:rPr>
        <w:t xml:space="preserve">have formed </w:t>
      </w:r>
      <w:r w:rsidR="00927199" w:rsidRPr="00D34586">
        <w:rPr>
          <w:rFonts w:asciiTheme="minorHAnsi" w:hAnsiTheme="minorHAnsi" w:cs="Arial"/>
        </w:rPr>
        <w:t>the Intensive Animal Antimicrobial S</w:t>
      </w:r>
      <w:r w:rsidR="00927199">
        <w:rPr>
          <w:rFonts w:asciiTheme="minorHAnsi" w:hAnsiTheme="minorHAnsi" w:cs="Arial"/>
        </w:rPr>
        <w:t xml:space="preserve">tewardship </w:t>
      </w:r>
      <w:r w:rsidR="003C11AF">
        <w:rPr>
          <w:rFonts w:asciiTheme="minorHAnsi" w:hAnsiTheme="minorHAnsi" w:cs="Arial"/>
        </w:rPr>
        <w:t>working group</w:t>
      </w:r>
      <w:r w:rsidR="00927199">
        <w:rPr>
          <w:rFonts w:asciiTheme="minorHAnsi" w:hAnsiTheme="minorHAnsi" w:cs="Arial"/>
        </w:rPr>
        <w:t xml:space="preserve">, which is actively </w:t>
      </w:r>
      <w:r w:rsidR="00927199" w:rsidRPr="00D34586">
        <w:rPr>
          <w:rFonts w:asciiTheme="minorHAnsi" w:hAnsiTheme="minorHAnsi" w:cs="Arial"/>
        </w:rPr>
        <w:t>discuss</w:t>
      </w:r>
      <w:r w:rsidR="006A3766">
        <w:rPr>
          <w:rFonts w:asciiTheme="minorHAnsi" w:hAnsiTheme="minorHAnsi" w:cs="Arial"/>
        </w:rPr>
        <w:t>ing</w:t>
      </w:r>
      <w:r w:rsidR="00927199">
        <w:rPr>
          <w:rFonts w:asciiTheme="minorHAnsi" w:hAnsiTheme="minorHAnsi" w:cs="Arial"/>
        </w:rPr>
        <w:t xml:space="preserve"> </w:t>
      </w:r>
      <w:r w:rsidR="000213BE">
        <w:rPr>
          <w:rFonts w:asciiTheme="minorHAnsi" w:hAnsiTheme="minorHAnsi" w:cs="Arial"/>
        </w:rPr>
        <w:t>AMS</w:t>
      </w:r>
      <w:r w:rsidR="00927199" w:rsidRPr="00D34586">
        <w:rPr>
          <w:rFonts w:asciiTheme="minorHAnsi" w:hAnsiTheme="minorHAnsi" w:cs="Arial"/>
        </w:rPr>
        <w:t xml:space="preserve"> efforts in each industr</w:t>
      </w:r>
      <w:r>
        <w:rPr>
          <w:rFonts w:asciiTheme="minorHAnsi" w:hAnsiTheme="minorHAnsi" w:cs="Arial"/>
        </w:rPr>
        <w:t>y.</w:t>
      </w:r>
      <w:r w:rsidR="00927199" w:rsidRPr="00D34586">
        <w:rPr>
          <w:rFonts w:asciiTheme="minorHAnsi" w:hAnsiTheme="minorHAnsi" w:cs="Arial"/>
        </w:rPr>
        <w:t xml:space="preserve"> </w:t>
      </w:r>
      <w:r>
        <w:rPr>
          <w:rFonts w:asciiTheme="minorHAnsi" w:hAnsiTheme="minorHAnsi" w:cs="Arial"/>
        </w:rPr>
        <w:t>An agreed</w:t>
      </w:r>
      <w:r w:rsidR="00927199" w:rsidRPr="00D34586">
        <w:rPr>
          <w:rFonts w:asciiTheme="minorHAnsi" w:hAnsiTheme="minorHAnsi" w:cs="Arial"/>
        </w:rPr>
        <w:t xml:space="preserve"> stewardship framework</w:t>
      </w:r>
      <w:r>
        <w:rPr>
          <w:rFonts w:asciiTheme="minorHAnsi" w:hAnsiTheme="minorHAnsi" w:cs="Arial"/>
        </w:rPr>
        <w:t xml:space="preserve"> has been developed</w:t>
      </w:r>
      <w:r w:rsidR="00927199" w:rsidRPr="00D34586">
        <w:rPr>
          <w:rFonts w:asciiTheme="minorHAnsi" w:hAnsiTheme="minorHAnsi" w:cs="Arial"/>
        </w:rPr>
        <w:t xml:space="preserve"> </w:t>
      </w:r>
      <w:r>
        <w:rPr>
          <w:rFonts w:asciiTheme="minorHAnsi" w:hAnsiTheme="minorHAnsi" w:cs="Arial"/>
        </w:rPr>
        <w:t>for</w:t>
      </w:r>
      <w:r w:rsidRPr="00D34586">
        <w:rPr>
          <w:rFonts w:asciiTheme="minorHAnsi" w:hAnsiTheme="minorHAnsi" w:cs="Arial"/>
        </w:rPr>
        <w:t xml:space="preserve"> </w:t>
      </w:r>
      <w:r w:rsidR="00927199" w:rsidRPr="00D34586">
        <w:rPr>
          <w:rFonts w:asciiTheme="minorHAnsi" w:hAnsiTheme="minorHAnsi" w:cs="Arial"/>
        </w:rPr>
        <w:t xml:space="preserve">all parties to use as a basis for </w:t>
      </w:r>
      <w:r w:rsidR="000213BE">
        <w:rPr>
          <w:rFonts w:asciiTheme="minorHAnsi" w:hAnsiTheme="minorHAnsi" w:cs="Arial"/>
        </w:rPr>
        <w:t>AMS</w:t>
      </w:r>
      <w:r w:rsidR="00927199" w:rsidRPr="00D34586">
        <w:rPr>
          <w:rFonts w:asciiTheme="minorHAnsi" w:hAnsiTheme="minorHAnsi" w:cs="Arial"/>
        </w:rPr>
        <w:t xml:space="preserve"> activities. Each member of the </w:t>
      </w:r>
      <w:r w:rsidR="003C11AF">
        <w:rPr>
          <w:rFonts w:asciiTheme="minorHAnsi" w:hAnsiTheme="minorHAnsi" w:cs="Arial"/>
        </w:rPr>
        <w:t>working group</w:t>
      </w:r>
      <w:r w:rsidR="003C11AF" w:rsidRPr="00D34586">
        <w:rPr>
          <w:rFonts w:asciiTheme="minorHAnsi" w:hAnsiTheme="minorHAnsi" w:cs="Arial"/>
        </w:rPr>
        <w:t xml:space="preserve"> </w:t>
      </w:r>
      <w:r w:rsidR="00927199" w:rsidRPr="00D34586">
        <w:rPr>
          <w:rFonts w:asciiTheme="minorHAnsi" w:hAnsiTheme="minorHAnsi" w:cs="Arial"/>
        </w:rPr>
        <w:t xml:space="preserve">is producing a report on </w:t>
      </w:r>
      <w:r w:rsidR="000213BE">
        <w:rPr>
          <w:rFonts w:asciiTheme="minorHAnsi" w:hAnsiTheme="minorHAnsi" w:cs="Arial"/>
        </w:rPr>
        <w:t>AMS</w:t>
      </w:r>
      <w:r w:rsidR="00927199" w:rsidRPr="00D34586">
        <w:rPr>
          <w:rFonts w:asciiTheme="minorHAnsi" w:hAnsiTheme="minorHAnsi" w:cs="Arial"/>
        </w:rPr>
        <w:t xml:space="preserve"> activities (past, present and future) for their industry that will cont</w:t>
      </w:r>
      <w:r w:rsidR="00927199">
        <w:rPr>
          <w:rFonts w:asciiTheme="minorHAnsi" w:hAnsiTheme="minorHAnsi" w:cs="Arial"/>
        </w:rPr>
        <w:t xml:space="preserve">ribute to a compendium on </w:t>
      </w:r>
      <w:r w:rsidR="000213BE">
        <w:rPr>
          <w:rFonts w:asciiTheme="minorHAnsi" w:hAnsiTheme="minorHAnsi" w:cs="Arial"/>
        </w:rPr>
        <w:t>AMS</w:t>
      </w:r>
      <w:r w:rsidR="00927199" w:rsidRPr="00D34586">
        <w:rPr>
          <w:rFonts w:asciiTheme="minorHAnsi" w:hAnsiTheme="minorHAnsi" w:cs="Arial"/>
        </w:rPr>
        <w:t xml:space="preserve"> in Australian intensive livestock industries</w:t>
      </w:r>
      <w:r w:rsidR="00927199">
        <w:rPr>
          <w:rFonts w:asciiTheme="minorHAnsi" w:hAnsiTheme="minorHAnsi" w:cs="Arial"/>
        </w:rPr>
        <w:t>. The report</w:t>
      </w:r>
      <w:r w:rsidR="00927199" w:rsidRPr="00D34586">
        <w:rPr>
          <w:rFonts w:asciiTheme="minorHAnsi" w:hAnsiTheme="minorHAnsi" w:cs="Arial"/>
        </w:rPr>
        <w:t xml:space="preserve"> is due at the end of </w:t>
      </w:r>
      <w:r w:rsidR="00105313">
        <w:rPr>
          <w:rFonts w:asciiTheme="minorHAnsi" w:hAnsiTheme="minorHAnsi" w:cs="Arial"/>
        </w:rPr>
        <w:t>2017.</w:t>
      </w:r>
    </w:p>
    <w:p w:rsidR="00F37109" w:rsidRDefault="00927199" w:rsidP="001F1858">
      <w:pPr>
        <w:pStyle w:val="ListParagraph"/>
        <w:numPr>
          <w:ilvl w:val="0"/>
          <w:numId w:val="13"/>
        </w:numPr>
        <w:spacing w:after="120"/>
        <w:ind w:left="714" w:hanging="357"/>
        <w:contextualSpacing w:val="0"/>
        <w:rPr>
          <w:rFonts w:asciiTheme="minorHAnsi" w:hAnsiTheme="minorHAnsi" w:cs="Arial"/>
        </w:rPr>
      </w:pPr>
      <w:r w:rsidRPr="00D34586">
        <w:rPr>
          <w:rFonts w:asciiTheme="minorHAnsi" w:hAnsiTheme="minorHAnsi" w:cs="Arial"/>
        </w:rPr>
        <w:t xml:space="preserve">Meat &amp; Livestock Australia </w:t>
      </w:r>
      <w:r>
        <w:rPr>
          <w:rFonts w:asciiTheme="minorHAnsi" w:hAnsiTheme="minorHAnsi" w:cs="Arial"/>
        </w:rPr>
        <w:t>are</w:t>
      </w:r>
      <w:r w:rsidRPr="00D34586">
        <w:rPr>
          <w:rFonts w:asciiTheme="minorHAnsi" w:hAnsiTheme="minorHAnsi" w:cs="Arial"/>
        </w:rPr>
        <w:t xml:space="preserve"> develop</w:t>
      </w:r>
      <w:r>
        <w:rPr>
          <w:rFonts w:asciiTheme="minorHAnsi" w:hAnsiTheme="minorHAnsi" w:cs="Arial"/>
        </w:rPr>
        <w:t xml:space="preserve">ing </w:t>
      </w:r>
      <w:r w:rsidRPr="00D34586">
        <w:rPr>
          <w:rFonts w:asciiTheme="minorHAnsi" w:hAnsiTheme="minorHAnsi" w:cs="Arial"/>
        </w:rPr>
        <w:t xml:space="preserve">an </w:t>
      </w:r>
      <w:r w:rsidR="000213BE">
        <w:rPr>
          <w:rFonts w:asciiTheme="minorHAnsi" w:hAnsiTheme="minorHAnsi" w:cs="Arial"/>
        </w:rPr>
        <w:t>AMS</w:t>
      </w:r>
      <w:r>
        <w:rPr>
          <w:rFonts w:asciiTheme="minorHAnsi" w:hAnsiTheme="minorHAnsi" w:cs="Arial"/>
        </w:rPr>
        <w:t xml:space="preserve"> program</w:t>
      </w:r>
      <w:r w:rsidRPr="00D34586">
        <w:rPr>
          <w:rFonts w:asciiTheme="minorHAnsi" w:hAnsiTheme="minorHAnsi" w:cs="Arial"/>
        </w:rPr>
        <w:t xml:space="preserve"> that documents arrangements on feedlots to reduce antibiotic usage and ensure </w:t>
      </w:r>
      <w:r>
        <w:rPr>
          <w:rFonts w:asciiTheme="minorHAnsi" w:hAnsiTheme="minorHAnsi" w:cs="Arial"/>
        </w:rPr>
        <w:t>antibiotics</w:t>
      </w:r>
      <w:r w:rsidRPr="00D34586">
        <w:rPr>
          <w:rFonts w:asciiTheme="minorHAnsi" w:hAnsiTheme="minorHAnsi" w:cs="Arial"/>
        </w:rPr>
        <w:t xml:space="preserve"> are judiciously managed to minimise the risk of AMR. A technical manual is being prepared. It is expected that communication and extension activities will commence du</w:t>
      </w:r>
      <w:r w:rsidR="00105313">
        <w:rPr>
          <w:rFonts w:asciiTheme="minorHAnsi" w:hAnsiTheme="minorHAnsi" w:cs="Arial"/>
        </w:rPr>
        <w:t>ring 2018.</w:t>
      </w:r>
    </w:p>
    <w:p w:rsidR="00F37109" w:rsidRDefault="00F37109">
      <w:pPr>
        <w:rPr>
          <w:rFonts w:asciiTheme="minorHAnsi" w:hAnsiTheme="minorHAnsi" w:cs="Arial"/>
        </w:rPr>
      </w:pPr>
      <w:r>
        <w:rPr>
          <w:rFonts w:asciiTheme="minorHAnsi" w:hAnsiTheme="minorHAnsi" w:cs="Arial"/>
        </w:rPr>
        <w:br w:type="page"/>
      </w:r>
    </w:p>
    <w:p w:rsidR="00927199" w:rsidRPr="003F5B34" w:rsidRDefault="004973FC" w:rsidP="001F1858">
      <w:pPr>
        <w:pStyle w:val="ListParagraph"/>
        <w:numPr>
          <w:ilvl w:val="0"/>
          <w:numId w:val="13"/>
        </w:numPr>
        <w:spacing w:after="120"/>
        <w:ind w:left="714" w:hanging="357"/>
        <w:contextualSpacing w:val="0"/>
        <w:rPr>
          <w:rFonts w:asciiTheme="minorHAnsi" w:hAnsiTheme="minorHAnsi" w:cs="Arial"/>
        </w:rPr>
      </w:pPr>
      <w:r>
        <w:rPr>
          <w:rFonts w:asciiTheme="minorHAnsi" w:hAnsiTheme="minorHAnsi" w:cs="Arial"/>
        </w:rPr>
        <w:lastRenderedPageBreak/>
        <w:t>T</w:t>
      </w:r>
      <w:r w:rsidR="00927199" w:rsidRPr="003F5B34">
        <w:rPr>
          <w:rFonts w:asciiTheme="minorHAnsi" w:hAnsiTheme="minorHAnsi" w:cs="Arial"/>
        </w:rPr>
        <w:t>he University of Sydney is researching the relationship</w:t>
      </w:r>
      <w:r w:rsidR="00927199">
        <w:rPr>
          <w:rFonts w:asciiTheme="minorHAnsi" w:hAnsiTheme="minorHAnsi" w:cs="Arial"/>
        </w:rPr>
        <w:t>s</w:t>
      </w:r>
      <w:r w:rsidR="00927199" w:rsidRPr="003F5B34">
        <w:rPr>
          <w:rFonts w:asciiTheme="minorHAnsi" w:hAnsiTheme="minorHAnsi" w:cs="Arial"/>
        </w:rPr>
        <w:t xml:space="preserve"> between the use of diagnostic microbiology and antimicrobial prescribing/use in veterinary practices as part of a survey on stakeholder perspectives about AMR. The survey has determined attitudes to antimicrobial prescribing by veterinarians to companion and production animals. The University is </w:t>
      </w:r>
      <w:r w:rsidR="00927199">
        <w:rPr>
          <w:rFonts w:asciiTheme="minorHAnsi" w:hAnsiTheme="minorHAnsi" w:cs="Arial"/>
        </w:rPr>
        <w:t xml:space="preserve">also surveying </w:t>
      </w:r>
      <w:r w:rsidR="00927199" w:rsidRPr="003F5B34">
        <w:rPr>
          <w:rFonts w:asciiTheme="minorHAnsi" w:hAnsiTheme="minorHAnsi" w:cs="Arial"/>
        </w:rPr>
        <w:t>how dairy farmers make decisions about using antibiotics when treating commonly occurring bacterial di</w:t>
      </w:r>
      <w:r w:rsidR="00105313">
        <w:rPr>
          <w:rFonts w:asciiTheme="minorHAnsi" w:hAnsiTheme="minorHAnsi" w:cs="Arial"/>
        </w:rPr>
        <w:t>seases in cattle on their farm.</w:t>
      </w:r>
    </w:p>
    <w:p w:rsidR="00927199" w:rsidRPr="00D34586" w:rsidRDefault="00927199" w:rsidP="001F1858">
      <w:pPr>
        <w:pStyle w:val="ListParagraph"/>
        <w:numPr>
          <w:ilvl w:val="0"/>
          <w:numId w:val="13"/>
        </w:numPr>
        <w:spacing w:after="120"/>
        <w:ind w:left="714" w:hanging="357"/>
        <w:contextualSpacing w:val="0"/>
        <w:rPr>
          <w:rFonts w:asciiTheme="minorHAnsi" w:hAnsiTheme="minorHAnsi" w:cs="Arial"/>
        </w:rPr>
      </w:pPr>
      <w:r w:rsidRPr="00D34586">
        <w:rPr>
          <w:rFonts w:asciiTheme="minorHAnsi" w:hAnsiTheme="minorHAnsi" w:cs="Arial"/>
        </w:rPr>
        <w:t>Australian Eggs Limited are developing and promoting an antimicrobial stewardship framework. Stakeholder consultation started at the end of December 2016 and is due t</w:t>
      </w:r>
      <w:r w:rsidR="00105313">
        <w:rPr>
          <w:rFonts w:asciiTheme="minorHAnsi" w:hAnsiTheme="minorHAnsi" w:cs="Arial"/>
        </w:rPr>
        <w:t>o be completed in December 2018.</w:t>
      </w:r>
    </w:p>
    <w:p w:rsidR="00927199" w:rsidRPr="00D34586" w:rsidRDefault="00927199" w:rsidP="001F1858">
      <w:pPr>
        <w:pStyle w:val="ListParagraph"/>
        <w:numPr>
          <w:ilvl w:val="0"/>
          <w:numId w:val="13"/>
        </w:numPr>
        <w:spacing w:after="120"/>
        <w:ind w:left="714" w:hanging="357"/>
        <w:contextualSpacing w:val="0"/>
        <w:rPr>
          <w:rFonts w:asciiTheme="minorHAnsi" w:hAnsiTheme="minorHAnsi" w:cs="Arial"/>
        </w:rPr>
      </w:pPr>
      <w:r w:rsidRPr="00D34586">
        <w:rPr>
          <w:rFonts w:asciiTheme="minorHAnsi" w:hAnsiTheme="minorHAnsi" w:cs="Arial"/>
        </w:rPr>
        <w:t xml:space="preserve">Australian Eggs Limited </w:t>
      </w:r>
      <w:r>
        <w:rPr>
          <w:rFonts w:asciiTheme="minorHAnsi" w:hAnsiTheme="minorHAnsi" w:cs="Arial"/>
        </w:rPr>
        <w:t xml:space="preserve">has </w:t>
      </w:r>
      <w:r w:rsidRPr="00D34586">
        <w:rPr>
          <w:rFonts w:asciiTheme="minorHAnsi" w:hAnsiTheme="minorHAnsi" w:cs="Arial"/>
        </w:rPr>
        <w:t>updated the egg indust</w:t>
      </w:r>
      <w:r>
        <w:rPr>
          <w:rFonts w:asciiTheme="minorHAnsi" w:hAnsiTheme="minorHAnsi" w:cs="Arial"/>
        </w:rPr>
        <w:t>ry’s quality assurance program</w:t>
      </w:r>
      <w:r w:rsidR="00375E7F">
        <w:rPr>
          <w:rFonts w:asciiTheme="minorHAnsi" w:hAnsiTheme="minorHAnsi" w:cs="Arial"/>
        </w:rPr>
        <w:t>,</w:t>
      </w:r>
      <w:r>
        <w:rPr>
          <w:rFonts w:asciiTheme="minorHAnsi" w:hAnsiTheme="minorHAnsi" w:cs="Arial"/>
        </w:rPr>
        <w:t xml:space="preserve"> </w:t>
      </w:r>
      <w:r w:rsidRPr="006A3766">
        <w:rPr>
          <w:rFonts w:asciiTheme="minorHAnsi" w:hAnsiTheme="minorHAnsi" w:cs="Arial"/>
          <w:i/>
        </w:rPr>
        <w:t>Egg Standards of Australia</w:t>
      </w:r>
      <w:r>
        <w:rPr>
          <w:rFonts w:asciiTheme="minorHAnsi" w:hAnsiTheme="minorHAnsi" w:cs="Arial"/>
        </w:rPr>
        <w:t xml:space="preserve"> support</w:t>
      </w:r>
      <w:r w:rsidR="00375E7F">
        <w:rPr>
          <w:rFonts w:asciiTheme="minorHAnsi" w:hAnsiTheme="minorHAnsi" w:cs="Arial"/>
        </w:rPr>
        <w:t>ing</w:t>
      </w:r>
      <w:r>
        <w:rPr>
          <w:rFonts w:asciiTheme="minorHAnsi" w:hAnsiTheme="minorHAnsi" w:cs="Arial"/>
        </w:rPr>
        <w:t xml:space="preserve"> </w:t>
      </w:r>
      <w:r w:rsidRPr="00D34586">
        <w:rPr>
          <w:rFonts w:asciiTheme="minorHAnsi" w:hAnsiTheme="minorHAnsi" w:cs="Arial"/>
        </w:rPr>
        <w:t>compliance with best practice antimi</w:t>
      </w:r>
      <w:r w:rsidR="00105313">
        <w:rPr>
          <w:rFonts w:asciiTheme="minorHAnsi" w:hAnsiTheme="minorHAnsi" w:cs="Arial"/>
        </w:rPr>
        <w:t>crobial stewardship approaches.</w:t>
      </w:r>
    </w:p>
    <w:p w:rsidR="00927199" w:rsidRPr="00D34586" w:rsidRDefault="00927199" w:rsidP="001F1858">
      <w:pPr>
        <w:pStyle w:val="ListParagraph"/>
        <w:numPr>
          <w:ilvl w:val="0"/>
          <w:numId w:val="13"/>
        </w:numPr>
        <w:spacing w:after="120"/>
        <w:ind w:left="714" w:hanging="357"/>
        <w:contextualSpacing w:val="0"/>
        <w:rPr>
          <w:rFonts w:asciiTheme="minorHAnsi" w:hAnsiTheme="minorHAnsi" w:cs="Arial"/>
        </w:rPr>
      </w:pPr>
      <w:r w:rsidRPr="00D34586">
        <w:rPr>
          <w:rFonts w:asciiTheme="minorHAnsi" w:hAnsiTheme="minorHAnsi" w:cs="Arial"/>
        </w:rPr>
        <w:t xml:space="preserve">Veterinary Schools of Australia and New Zealand commenced a project funded by the Australian Government Department of Agriculture and Water Resources on ‘Antimicrobial stewardship in veterinary practice – development of training package and delivery strategy’. The outcome will be an online training package in </w:t>
      </w:r>
      <w:r w:rsidR="000213BE">
        <w:rPr>
          <w:rFonts w:asciiTheme="minorHAnsi" w:hAnsiTheme="minorHAnsi" w:cs="Arial"/>
        </w:rPr>
        <w:t>AMS</w:t>
      </w:r>
      <w:r w:rsidRPr="00D34586">
        <w:rPr>
          <w:rFonts w:asciiTheme="minorHAnsi" w:hAnsiTheme="minorHAnsi" w:cs="Arial"/>
        </w:rPr>
        <w:t xml:space="preserve"> targeted at recent (2-3 year) veterinary graduates</w:t>
      </w:r>
      <w:r>
        <w:rPr>
          <w:rFonts w:asciiTheme="minorHAnsi" w:hAnsiTheme="minorHAnsi" w:cs="Arial"/>
        </w:rPr>
        <w:t>,</w:t>
      </w:r>
      <w:r w:rsidRPr="00D34586">
        <w:rPr>
          <w:rFonts w:asciiTheme="minorHAnsi" w:hAnsiTheme="minorHAnsi" w:cs="Arial"/>
        </w:rPr>
        <w:t xml:space="preserve"> as well as a delivery plan that identifies ways to maximise course uptake. The project is due for completion in June 2018.</w:t>
      </w:r>
    </w:p>
    <w:p w:rsidR="005F7D01" w:rsidRPr="004146B6" w:rsidRDefault="005F7D01" w:rsidP="00445D1A">
      <w:pPr>
        <w:pStyle w:val="Heading3"/>
      </w:pPr>
      <w:r w:rsidRPr="004146B6">
        <w:t>What are our challenges?</w:t>
      </w:r>
    </w:p>
    <w:p w:rsidR="008A5735" w:rsidRPr="001F1858" w:rsidRDefault="008A5735" w:rsidP="001F1858">
      <w:pPr>
        <w:pStyle w:val="ListParagraph"/>
        <w:numPr>
          <w:ilvl w:val="0"/>
          <w:numId w:val="13"/>
        </w:numPr>
        <w:spacing w:after="120"/>
        <w:ind w:left="714" w:hanging="357"/>
        <w:contextualSpacing w:val="0"/>
        <w:rPr>
          <w:rFonts w:asciiTheme="minorHAnsi" w:hAnsiTheme="minorHAnsi" w:cs="Arial"/>
        </w:rPr>
      </w:pPr>
      <w:r w:rsidRPr="001F1858">
        <w:rPr>
          <w:rFonts w:asciiTheme="minorHAnsi" w:hAnsiTheme="minorHAnsi" w:cs="Arial"/>
        </w:rPr>
        <w:t>In community healthcare settings the rates of antibiotic use have not shown improvement. Australia’s antimicrobial prescribing rate in community health care is the eighth highest among member countries of the Organi</w:t>
      </w:r>
      <w:r w:rsidR="003E3656">
        <w:rPr>
          <w:rFonts w:asciiTheme="minorHAnsi" w:hAnsiTheme="minorHAnsi" w:cs="Arial"/>
        </w:rPr>
        <w:t>s</w:t>
      </w:r>
      <w:r w:rsidRPr="001F1858">
        <w:rPr>
          <w:rFonts w:asciiTheme="minorHAnsi" w:hAnsiTheme="minorHAnsi" w:cs="Arial"/>
        </w:rPr>
        <w:t xml:space="preserve">ation for Economic Co-operation and Development, and is more than double that of countries that prescribe the lowest rates of antimicrobials. </w:t>
      </w:r>
      <w:r w:rsidR="006A3766">
        <w:rPr>
          <w:rFonts w:asciiTheme="minorHAnsi" w:hAnsiTheme="minorHAnsi" w:cs="Arial"/>
        </w:rPr>
        <w:t>E</w:t>
      </w:r>
      <w:r w:rsidRPr="001F1858">
        <w:rPr>
          <w:rFonts w:asciiTheme="minorHAnsi" w:hAnsiTheme="minorHAnsi" w:cs="Arial"/>
        </w:rPr>
        <w:t>ffective and sustainable approaches to improve prescribing in this setting are needed.</w:t>
      </w:r>
    </w:p>
    <w:p w:rsidR="00EB40C1" w:rsidRPr="001F1858" w:rsidRDefault="00163D1C" w:rsidP="001F1858">
      <w:pPr>
        <w:pStyle w:val="ListParagraph"/>
        <w:numPr>
          <w:ilvl w:val="0"/>
          <w:numId w:val="13"/>
        </w:numPr>
        <w:spacing w:after="120"/>
        <w:ind w:left="714" w:hanging="357"/>
        <w:contextualSpacing w:val="0"/>
        <w:rPr>
          <w:rFonts w:asciiTheme="minorHAnsi" w:hAnsiTheme="minorHAnsi" w:cs="Arial"/>
        </w:rPr>
      </w:pPr>
      <w:r w:rsidRPr="001F1858">
        <w:rPr>
          <w:rFonts w:asciiTheme="minorHAnsi" w:hAnsiTheme="minorHAnsi" w:cs="Arial"/>
        </w:rPr>
        <w:t>In hospitals t</w:t>
      </w:r>
      <w:r w:rsidR="00164244" w:rsidRPr="001F1858">
        <w:rPr>
          <w:rFonts w:asciiTheme="minorHAnsi" w:hAnsiTheme="minorHAnsi" w:cs="Arial"/>
        </w:rPr>
        <w:t xml:space="preserve">here are areas </w:t>
      </w:r>
      <w:r w:rsidRPr="001F1858">
        <w:rPr>
          <w:rFonts w:asciiTheme="minorHAnsi" w:hAnsiTheme="minorHAnsi" w:cs="Arial"/>
        </w:rPr>
        <w:t xml:space="preserve">of antibiotic use </w:t>
      </w:r>
      <w:r w:rsidR="00164244" w:rsidRPr="001F1858">
        <w:rPr>
          <w:rFonts w:asciiTheme="minorHAnsi" w:hAnsiTheme="minorHAnsi" w:cs="Arial"/>
        </w:rPr>
        <w:t>that need further attention, for example</w:t>
      </w:r>
      <w:r w:rsidR="000F7BC9" w:rsidRPr="001F1858">
        <w:rPr>
          <w:rFonts w:asciiTheme="minorHAnsi" w:hAnsiTheme="minorHAnsi" w:cs="Arial"/>
        </w:rPr>
        <w:t xml:space="preserve"> </w:t>
      </w:r>
      <w:r w:rsidR="00D82005" w:rsidRPr="001F1858">
        <w:rPr>
          <w:rFonts w:asciiTheme="minorHAnsi" w:hAnsiTheme="minorHAnsi" w:cs="Arial"/>
        </w:rPr>
        <w:t>improving the appropriateness of antibiotic prescribing in</w:t>
      </w:r>
      <w:r w:rsidR="00164244" w:rsidRPr="001F1858">
        <w:rPr>
          <w:rFonts w:asciiTheme="minorHAnsi" w:hAnsiTheme="minorHAnsi" w:cs="Arial"/>
        </w:rPr>
        <w:t xml:space="preserve"> surgical prophylaxis</w:t>
      </w:r>
      <w:r w:rsidR="00D667C4" w:rsidRPr="001F1858">
        <w:rPr>
          <w:rFonts w:asciiTheme="minorHAnsi" w:hAnsiTheme="minorHAnsi" w:cs="Arial"/>
        </w:rPr>
        <w:t>.</w:t>
      </w:r>
    </w:p>
    <w:p w:rsidR="00EF03F5" w:rsidRPr="001F1858" w:rsidRDefault="00EF03F5" w:rsidP="001F1858">
      <w:pPr>
        <w:pStyle w:val="ListParagraph"/>
        <w:numPr>
          <w:ilvl w:val="0"/>
          <w:numId w:val="13"/>
        </w:numPr>
        <w:spacing w:after="120"/>
        <w:ind w:left="714" w:hanging="357"/>
        <w:contextualSpacing w:val="0"/>
        <w:rPr>
          <w:rFonts w:asciiTheme="minorHAnsi" w:hAnsiTheme="minorHAnsi" w:cs="Arial"/>
        </w:rPr>
      </w:pPr>
      <w:r w:rsidRPr="001F1858">
        <w:rPr>
          <w:rFonts w:asciiTheme="minorHAnsi" w:hAnsiTheme="minorHAnsi" w:cs="Arial"/>
        </w:rPr>
        <w:t xml:space="preserve">Aged care homes have been </w:t>
      </w:r>
      <w:r w:rsidR="000F7BC9" w:rsidRPr="001F1858">
        <w:rPr>
          <w:rFonts w:asciiTheme="minorHAnsi" w:hAnsiTheme="minorHAnsi" w:cs="Arial"/>
        </w:rPr>
        <w:t>found to have</w:t>
      </w:r>
      <w:r w:rsidRPr="001F1858">
        <w:rPr>
          <w:rFonts w:asciiTheme="minorHAnsi" w:hAnsiTheme="minorHAnsi" w:cs="Arial"/>
        </w:rPr>
        <w:t xml:space="preserve"> high </w:t>
      </w:r>
      <w:r w:rsidR="006A3766">
        <w:rPr>
          <w:rFonts w:asciiTheme="minorHAnsi" w:hAnsiTheme="minorHAnsi" w:cs="Arial"/>
        </w:rPr>
        <w:t xml:space="preserve">rates of </w:t>
      </w:r>
      <w:r w:rsidRPr="001F1858">
        <w:rPr>
          <w:rFonts w:asciiTheme="minorHAnsi" w:hAnsiTheme="minorHAnsi" w:cs="Arial"/>
        </w:rPr>
        <w:t xml:space="preserve">inappropriate use of antibiotics. </w:t>
      </w:r>
      <w:r w:rsidR="000F7BC9" w:rsidRPr="001F1858">
        <w:rPr>
          <w:rFonts w:asciiTheme="minorHAnsi" w:hAnsiTheme="minorHAnsi" w:cs="Arial"/>
        </w:rPr>
        <w:t xml:space="preserve">Innovative approaches to address the </w:t>
      </w:r>
      <w:r w:rsidRPr="001F1858">
        <w:rPr>
          <w:rFonts w:asciiTheme="minorHAnsi" w:hAnsiTheme="minorHAnsi" w:cs="Arial"/>
        </w:rPr>
        <w:t xml:space="preserve">barriers to best practice </w:t>
      </w:r>
      <w:r w:rsidR="000F7BC9" w:rsidRPr="001F1858">
        <w:rPr>
          <w:rFonts w:asciiTheme="minorHAnsi" w:hAnsiTheme="minorHAnsi" w:cs="Arial"/>
        </w:rPr>
        <w:t>prescribing</w:t>
      </w:r>
      <w:r w:rsidRPr="001F1858">
        <w:rPr>
          <w:rFonts w:asciiTheme="minorHAnsi" w:hAnsiTheme="minorHAnsi" w:cs="Arial"/>
        </w:rPr>
        <w:t xml:space="preserve"> in this setting</w:t>
      </w:r>
      <w:r w:rsidR="000F7BC9" w:rsidRPr="001F1858">
        <w:rPr>
          <w:rFonts w:asciiTheme="minorHAnsi" w:hAnsiTheme="minorHAnsi" w:cs="Arial"/>
        </w:rPr>
        <w:t xml:space="preserve"> are needed</w:t>
      </w:r>
      <w:r w:rsidRPr="001F1858">
        <w:rPr>
          <w:rFonts w:asciiTheme="minorHAnsi" w:hAnsiTheme="minorHAnsi" w:cs="Arial"/>
        </w:rPr>
        <w:t>.</w:t>
      </w:r>
    </w:p>
    <w:p w:rsidR="001D07C5" w:rsidRPr="001F1858" w:rsidRDefault="001D07C5" w:rsidP="001F1858">
      <w:pPr>
        <w:pStyle w:val="ListParagraph"/>
        <w:numPr>
          <w:ilvl w:val="0"/>
          <w:numId w:val="13"/>
        </w:numPr>
        <w:spacing w:after="120"/>
        <w:ind w:left="714" w:hanging="357"/>
        <w:contextualSpacing w:val="0"/>
        <w:rPr>
          <w:rFonts w:asciiTheme="minorHAnsi" w:hAnsiTheme="minorHAnsi" w:cs="Arial"/>
        </w:rPr>
      </w:pPr>
      <w:r w:rsidRPr="001F1858">
        <w:rPr>
          <w:rFonts w:asciiTheme="minorHAnsi" w:hAnsiTheme="minorHAnsi" w:cs="Arial"/>
        </w:rPr>
        <w:t xml:space="preserve">Increasing the availability of evidence-based and best practice prescribing guidelines for </w:t>
      </w:r>
      <w:r w:rsidR="006A3766">
        <w:rPr>
          <w:rFonts w:asciiTheme="minorHAnsi" w:hAnsiTheme="minorHAnsi" w:cs="Arial"/>
        </w:rPr>
        <w:t>the use of</w:t>
      </w:r>
      <w:r w:rsidR="006A3766" w:rsidRPr="001F1858">
        <w:rPr>
          <w:rFonts w:asciiTheme="minorHAnsi" w:hAnsiTheme="minorHAnsi" w:cs="Arial"/>
        </w:rPr>
        <w:t xml:space="preserve"> </w:t>
      </w:r>
      <w:r w:rsidRPr="001F1858">
        <w:rPr>
          <w:rFonts w:asciiTheme="minorHAnsi" w:hAnsiTheme="minorHAnsi" w:cs="Arial"/>
        </w:rPr>
        <w:t xml:space="preserve">antibiotics in animal health in Australia </w:t>
      </w:r>
      <w:r w:rsidR="00EE53D4" w:rsidRPr="001F1858">
        <w:rPr>
          <w:rFonts w:asciiTheme="minorHAnsi" w:hAnsiTheme="minorHAnsi" w:cs="Arial"/>
        </w:rPr>
        <w:t>is important to</w:t>
      </w:r>
      <w:r w:rsidRPr="001F1858">
        <w:rPr>
          <w:rFonts w:asciiTheme="minorHAnsi" w:hAnsiTheme="minorHAnsi" w:cs="Arial"/>
        </w:rPr>
        <w:t xml:space="preserve"> complement other </w:t>
      </w:r>
      <w:r w:rsidR="000213BE">
        <w:rPr>
          <w:rFonts w:asciiTheme="minorHAnsi" w:hAnsiTheme="minorHAnsi" w:cs="Arial"/>
        </w:rPr>
        <w:t>AMS</w:t>
      </w:r>
      <w:r w:rsidRPr="001F1858">
        <w:rPr>
          <w:rFonts w:asciiTheme="minorHAnsi" w:hAnsiTheme="minorHAnsi" w:cs="Arial"/>
        </w:rPr>
        <w:t xml:space="preserve"> initiatives</w:t>
      </w:r>
      <w:r w:rsidR="00D667C4" w:rsidRPr="001F1858">
        <w:rPr>
          <w:rFonts w:asciiTheme="minorHAnsi" w:hAnsiTheme="minorHAnsi" w:cs="Arial"/>
        </w:rPr>
        <w:t>.</w:t>
      </w:r>
    </w:p>
    <w:p w:rsidR="005F7D01" w:rsidRPr="004146B6" w:rsidRDefault="005F7D01" w:rsidP="00445D1A">
      <w:pPr>
        <w:pStyle w:val="Heading3"/>
      </w:pPr>
      <w:r w:rsidRPr="004146B6">
        <w:t>Where to next?</w:t>
      </w:r>
    </w:p>
    <w:p w:rsidR="00F37109" w:rsidRPr="00F37109" w:rsidRDefault="00F07325" w:rsidP="00F37109">
      <w:pPr>
        <w:pStyle w:val="ListParagraph"/>
        <w:numPr>
          <w:ilvl w:val="0"/>
          <w:numId w:val="13"/>
        </w:numPr>
        <w:spacing w:after="120"/>
        <w:ind w:left="714" w:hanging="357"/>
        <w:contextualSpacing w:val="0"/>
        <w:rPr>
          <w:rFonts w:asciiTheme="minorHAnsi" w:hAnsiTheme="minorHAnsi" w:cs="Arial"/>
        </w:rPr>
      </w:pPr>
      <w:r w:rsidRPr="00F37109">
        <w:rPr>
          <w:rFonts w:asciiTheme="minorHAnsi" w:hAnsiTheme="minorHAnsi" w:cs="Arial"/>
        </w:rPr>
        <w:t xml:space="preserve">Continued investigation to identify how to best support the implementation of </w:t>
      </w:r>
      <w:r w:rsidR="000213BE" w:rsidRPr="00F37109">
        <w:rPr>
          <w:rFonts w:asciiTheme="minorHAnsi" w:hAnsiTheme="minorHAnsi" w:cs="Arial"/>
        </w:rPr>
        <w:t>AMS</w:t>
      </w:r>
      <w:r w:rsidRPr="00F37109">
        <w:rPr>
          <w:rFonts w:asciiTheme="minorHAnsi" w:hAnsiTheme="minorHAnsi" w:cs="Arial"/>
        </w:rPr>
        <w:t xml:space="preserve"> programs and best-practice antibiotic usage policies via accreditation arrangements and practice standards for general practices, aged care homes, veterinarians and pharmacists.</w:t>
      </w:r>
      <w:r w:rsidR="00F37109" w:rsidRPr="00F37109">
        <w:rPr>
          <w:rFonts w:asciiTheme="minorHAnsi" w:hAnsiTheme="minorHAnsi" w:cs="Arial"/>
        </w:rPr>
        <w:br w:type="page"/>
      </w:r>
    </w:p>
    <w:p w:rsidR="00F07325" w:rsidRPr="00F07325" w:rsidRDefault="00F07325" w:rsidP="001F1858">
      <w:pPr>
        <w:pStyle w:val="ListParagraph"/>
        <w:numPr>
          <w:ilvl w:val="0"/>
          <w:numId w:val="13"/>
        </w:numPr>
        <w:spacing w:after="120"/>
        <w:ind w:left="714" w:hanging="357"/>
        <w:contextualSpacing w:val="0"/>
        <w:rPr>
          <w:rFonts w:asciiTheme="minorHAnsi" w:hAnsiTheme="minorHAnsi" w:cs="Arial"/>
        </w:rPr>
      </w:pPr>
      <w:r w:rsidRPr="00F07325">
        <w:rPr>
          <w:rFonts w:asciiTheme="minorHAnsi" w:hAnsiTheme="minorHAnsi" w:cs="Arial"/>
        </w:rPr>
        <w:lastRenderedPageBreak/>
        <w:t xml:space="preserve">Continued effort to increase access to programs </w:t>
      </w:r>
      <w:r w:rsidR="006A3766">
        <w:rPr>
          <w:rFonts w:asciiTheme="minorHAnsi" w:hAnsiTheme="minorHAnsi" w:cs="Arial"/>
        </w:rPr>
        <w:t>that</w:t>
      </w:r>
      <w:r w:rsidRPr="00F07325">
        <w:rPr>
          <w:rFonts w:asciiTheme="minorHAnsi" w:hAnsiTheme="minorHAnsi" w:cs="Arial"/>
        </w:rPr>
        <w:t xml:space="preserve"> provide prescribers and facilities with analysis of antibiotic prescribing data. These programs assist in identification of variation from recommended guidelines,</w:t>
      </w:r>
      <w:r w:rsidR="007F5BDD">
        <w:rPr>
          <w:rFonts w:asciiTheme="minorHAnsi" w:hAnsiTheme="minorHAnsi" w:cs="Arial"/>
        </w:rPr>
        <w:t xml:space="preserve"> and</w:t>
      </w:r>
      <w:r w:rsidRPr="00F07325">
        <w:rPr>
          <w:rFonts w:asciiTheme="minorHAnsi" w:hAnsiTheme="minorHAnsi" w:cs="Arial"/>
        </w:rPr>
        <w:t xml:space="preserve"> inform areas for quality improvement</w:t>
      </w:r>
      <w:r>
        <w:rPr>
          <w:rFonts w:asciiTheme="minorHAnsi" w:hAnsiTheme="minorHAnsi" w:cs="Arial"/>
        </w:rPr>
        <w:t>.</w:t>
      </w:r>
    </w:p>
    <w:p w:rsidR="00BF1D28" w:rsidRDefault="00BF1D28" w:rsidP="001F1858">
      <w:pPr>
        <w:pStyle w:val="ListParagraph"/>
        <w:numPr>
          <w:ilvl w:val="0"/>
          <w:numId w:val="13"/>
        </w:numPr>
        <w:spacing w:after="120"/>
        <w:ind w:left="714" w:hanging="357"/>
        <w:contextualSpacing w:val="0"/>
        <w:rPr>
          <w:rFonts w:asciiTheme="minorHAnsi" w:hAnsiTheme="minorHAnsi" w:cs="Arial"/>
        </w:rPr>
      </w:pPr>
      <w:r>
        <w:rPr>
          <w:rFonts w:asciiTheme="minorHAnsi" w:hAnsiTheme="minorHAnsi" w:cs="Arial"/>
        </w:rPr>
        <w:t xml:space="preserve">Review of the </w:t>
      </w:r>
      <w:r w:rsidR="006A3766">
        <w:rPr>
          <w:rFonts w:asciiTheme="minorHAnsi" w:hAnsiTheme="minorHAnsi" w:cs="Arial"/>
        </w:rPr>
        <w:t xml:space="preserve">supply </w:t>
      </w:r>
      <w:r>
        <w:rPr>
          <w:rFonts w:asciiTheme="minorHAnsi" w:hAnsiTheme="minorHAnsi" w:cs="Arial"/>
        </w:rPr>
        <w:t>of antibiotics through the Pharmaceutical Benefits Scheme, particularly for those commonly prescribed in the community, to assist in identifying opportunities to better support appropriate prescribing and dispensing.</w:t>
      </w:r>
    </w:p>
    <w:p w:rsidR="005F7D01" w:rsidRDefault="00BF1D28" w:rsidP="001F1858">
      <w:pPr>
        <w:pStyle w:val="ListParagraph"/>
        <w:numPr>
          <w:ilvl w:val="0"/>
          <w:numId w:val="13"/>
        </w:numPr>
        <w:spacing w:after="120"/>
        <w:ind w:left="714" w:hanging="357"/>
        <w:contextualSpacing w:val="0"/>
        <w:rPr>
          <w:rFonts w:asciiTheme="minorHAnsi" w:hAnsiTheme="minorHAnsi" w:cs="Arial"/>
        </w:rPr>
      </w:pPr>
      <w:r>
        <w:rPr>
          <w:rFonts w:asciiTheme="minorHAnsi" w:hAnsiTheme="minorHAnsi" w:cs="Arial"/>
        </w:rPr>
        <w:t>Update t</w:t>
      </w:r>
      <w:r w:rsidR="005F7D01" w:rsidRPr="004D5150">
        <w:rPr>
          <w:rFonts w:asciiTheme="minorHAnsi" w:hAnsiTheme="minorHAnsi" w:cs="Arial"/>
        </w:rPr>
        <w:t xml:space="preserve">he </w:t>
      </w:r>
      <w:r w:rsidR="005F7D01" w:rsidRPr="001F1858">
        <w:rPr>
          <w:rFonts w:asciiTheme="minorHAnsi" w:hAnsiTheme="minorHAnsi" w:cs="Arial"/>
          <w:i/>
        </w:rPr>
        <w:t>Importance Ratings and Summary of Antibacterial Uses in Humans in Australia</w:t>
      </w:r>
      <w:r w:rsidR="005F7D01" w:rsidRPr="001F1858">
        <w:rPr>
          <w:rFonts w:asciiTheme="minorHAnsi" w:hAnsiTheme="minorHAnsi" w:cs="Arial"/>
        </w:rPr>
        <w:t xml:space="preserve"> (2015)</w:t>
      </w:r>
      <w:r w:rsidR="005F7D01" w:rsidRPr="004D5150">
        <w:rPr>
          <w:rFonts w:asciiTheme="minorHAnsi" w:hAnsiTheme="minorHAnsi" w:cs="Arial"/>
        </w:rPr>
        <w:t xml:space="preserve"> (the Importance Ratings), </w:t>
      </w:r>
      <w:r w:rsidR="005F7D01">
        <w:rPr>
          <w:rFonts w:asciiTheme="minorHAnsi" w:hAnsiTheme="minorHAnsi" w:cs="Arial"/>
        </w:rPr>
        <w:t xml:space="preserve">which </w:t>
      </w:r>
      <w:r w:rsidR="005F7D01" w:rsidRPr="004D5150">
        <w:rPr>
          <w:rFonts w:asciiTheme="minorHAnsi" w:hAnsiTheme="minorHAnsi" w:cs="Arial"/>
        </w:rPr>
        <w:t>provide information, particularly to regulators and prescribers, on the importance of antibacterial agents in the treatment of particular infections and the seriousness of the consequences should resistance emerge or be amplified</w:t>
      </w:r>
      <w:r w:rsidR="00B8252E">
        <w:rPr>
          <w:rFonts w:asciiTheme="minorHAnsi" w:hAnsiTheme="minorHAnsi" w:cs="Arial"/>
        </w:rPr>
        <w:t>.</w:t>
      </w:r>
    </w:p>
    <w:p w:rsidR="0090379B" w:rsidRDefault="00DA5880" w:rsidP="001F1858">
      <w:pPr>
        <w:pStyle w:val="ListParagraph"/>
        <w:numPr>
          <w:ilvl w:val="0"/>
          <w:numId w:val="13"/>
        </w:numPr>
        <w:spacing w:after="120"/>
        <w:ind w:left="714" w:hanging="357"/>
        <w:contextualSpacing w:val="0"/>
        <w:rPr>
          <w:rFonts w:asciiTheme="minorHAnsi" w:hAnsiTheme="minorHAnsi" w:cs="Arial"/>
        </w:rPr>
      </w:pPr>
      <w:r>
        <w:rPr>
          <w:rFonts w:asciiTheme="minorHAnsi" w:hAnsiTheme="minorHAnsi" w:cs="Arial"/>
        </w:rPr>
        <w:t xml:space="preserve">Applying </w:t>
      </w:r>
      <w:r w:rsidR="005D4E28">
        <w:rPr>
          <w:rFonts w:asciiTheme="minorHAnsi" w:hAnsiTheme="minorHAnsi" w:cs="Arial"/>
        </w:rPr>
        <w:t>d</w:t>
      </w:r>
      <w:r w:rsidR="00B8252E">
        <w:rPr>
          <w:rFonts w:asciiTheme="minorHAnsi" w:hAnsiTheme="minorHAnsi" w:cs="Arial"/>
        </w:rPr>
        <w:t>ata</w:t>
      </w:r>
      <w:r w:rsidR="0059486C" w:rsidRPr="0090379B">
        <w:rPr>
          <w:rFonts w:asciiTheme="minorHAnsi" w:hAnsiTheme="minorHAnsi" w:cs="Arial"/>
        </w:rPr>
        <w:t xml:space="preserve"> from </w:t>
      </w:r>
      <w:r w:rsidR="005F7D01" w:rsidRPr="0090379B">
        <w:rPr>
          <w:rFonts w:asciiTheme="minorHAnsi" w:hAnsiTheme="minorHAnsi" w:cs="Arial"/>
        </w:rPr>
        <w:t>research relating to antimicrobial consumption, inappropriate use</w:t>
      </w:r>
      <w:r w:rsidR="007F5BDD" w:rsidRPr="0090379B">
        <w:rPr>
          <w:rFonts w:asciiTheme="minorHAnsi" w:hAnsiTheme="minorHAnsi" w:cs="Arial"/>
        </w:rPr>
        <w:t xml:space="preserve">, </w:t>
      </w:r>
      <w:r w:rsidR="007F5BDD">
        <w:rPr>
          <w:rFonts w:asciiTheme="minorHAnsi" w:hAnsiTheme="minorHAnsi" w:cs="Arial"/>
        </w:rPr>
        <w:t xml:space="preserve">and </w:t>
      </w:r>
      <w:r w:rsidR="005F7D01" w:rsidRPr="0090379B">
        <w:rPr>
          <w:rFonts w:asciiTheme="minorHAnsi" w:hAnsiTheme="minorHAnsi" w:cs="Arial"/>
        </w:rPr>
        <w:t xml:space="preserve">interventions to change prescribing behaviour </w:t>
      </w:r>
      <w:r w:rsidR="006A3766">
        <w:rPr>
          <w:rFonts w:asciiTheme="minorHAnsi" w:hAnsiTheme="minorHAnsi" w:cs="Arial"/>
        </w:rPr>
        <w:t xml:space="preserve">to </w:t>
      </w:r>
      <w:r w:rsidR="005D4E28">
        <w:rPr>
          <w:rFonts w:asciiTheme="minorHAnsi" w:hAnsiTheme="minorHAnsi" w:cs="Arial"/>
        </w:rPr>
        <w:t>inform the development and implementation of AMS initiatives</w:t>
      </w:r>
      <w:r w:rsidR="0059486C" w:rsidRPr="0090379B">
        <w:rPr>
          <w:rFonts w:asciiTheme="minorHAnsi" w:hAnsiTheme="minorHAnsi" w:cs="Arial"/>
        </w:rPr>
        <w:t xml:space="preserve">. </w:t>
      </w:r>
      <w:r w:rsidR="007F5BDD">
        <w:rPr>
          <w:rFonts w:asciiTheme="minorHAnsi" w:hAnsiTheme="minorHAnsi" w:cs="Arial"/>
        </w:rPr>
        <w:t>There are a number of groups making headway in this area.</w:t>
      </w:r>
      <w:r w:rsidR="0090379B">
        <w:rPr>
          <w:rFonts w:asciiTheme="minorHAnsi" w:hAnsiTheme="minorHAnsi" w:cs="Arial"/>
        </w:rPr>
        <w:t xml:space="preserve"> </w:t>
      </w:r>
      <w:r w:rsidR="007F5BDD">
        <w:rPr>
          <w:rFonts w:asciiTheme="minorHAnsi" w:hAnsiTheme="minorHAnsi" w:cs="Arial"/>
        </w:rPr>
        <w:t>Two such groups are</w:t>
      </w:r>
      <w:r w:rsidR="0090379B">
        <w:rPr>
          <w:rFonts w:asciiTheme="minorHAnsi" w:hAnsiTheme="minorHAnsi" w:cs="Arial"/>
        </w:rPr>
        <w:t>:</w:t>
      </w:r>
    </w:p>
    <w:p w:rsidR="0090379B" w:rsidRPr="00642DF3" w:rsidRDefault="00B16F76" w:rsidP="001F1858">
      <w:pPr>
        <w:pStyle w:val="ListParagraph"/>
        <w:numPr>
          <w:ilvl w:val="1"/>
          <w:numId w:val="13"/>
        </w:numPr>
        <w:spacing w:after="120"/>
        <w:contextualSpacing w:val="0"/>
        <w:rPr>
          <w:rFonts w:asciiTheme="minorHAnsi" w:hAnsiTheme="minorHAnsi" w:cs="Arial"/>
        </w:rPr>
      </w:pPr>
      <w:r>
        <w:rPr>
          <w:rFonts w:asciiTheme="minorHAnsi" w:hAnsiTheme="minorHAnsi" w:cs="Arial"/>
        </w:rPr>
        <w:t>t</w:t>
      </w:r>
      <w:r w:rsidRPr="00B16F76">
        <w:rPr>
          <w:rFonts w:asciiTheme="minorHAnsi" w:hAnsiTheme="minorHAnsi" w:cs="Arial"/>
        </w:rPr>
        <w:t>he Centre for Research Excellence in Minimising Antibiotic Resistance for Acute Respiratory Infections</w:t>
      </w:r>
      <w:r w:rsidR="00642DF3">
        <w:rPr>
          <w:rFonts w:asciiTheme="minorHAnsi" w:hAnsiTheme="minorHAnsi" w:cs="Arial"/>
        </w:rPr>
        <w:t xml:space="preserve"> (CREMARA)</w:t>
      </w:r>
      <w:r>
        <w:rPr>
          <w:rFonts w:asciiTheme="minorHAnsi" w:hAnsiTheme="minorHAnsi" w:cs="Arial"/>
        </w:rPr>
        <w:t xml:space="preserve">, </w:t>
      </w:r>
      <w:r w:rsidR="00642DF3">
        <w:rPr>
          <w:rFonts w:asciiTheme="minorHAnsi" w:hAnsiTheme="minorHAnsi" w:cs="Arial"/>
        </w:rPr>
        <w:t>which</w:t>
      </w:r>
      <w:r w:rsidRPr="00B16F76">
        <w:rPr>
          <w:rFonts w:asciiTheme="minorHAnsi" w:hAnsiTheme="minorHAnsi" w:cs="Arial"/>
        </w:rPr>
        <w:t xml:space="preserve"> investigates </w:t>
      </w:r>
      <w:r w:rsidR="00642DF3">
        <w:rPr>
          <w:rFonts w:asciiTheme="minorHAnsi" w:hAnsiTheme="minorHAnsi" w:cs="Arial"/>
        </w:rPr>
        <w:t xml:space="preserve">the effect of </w:t>
      </w:r>
      <w:r w:rsidRPr="00B16F76">
        <w:rPr>
          <w:rFonts w:asciiTheme="minorHAnsi" w:hAnsiTheme="minorHAnsi" w:cs="Arial"/>
        </w:rPr>
        <w:t xml:space="preserve">strategies such as shared decision making and delayed prescribing on improving antibiotic </w:t>
      </w:r>
      <w:r w:rsidR="00642DF3">
        <w:rPr>
          <w:rFonts w:asciiTheme="minorHAnsi" w:hAnsiTheme="minorHAnsi" w:cs="Arial"/>
        </w:rPr>
        <w:t xml:space="preserve">prescribing </w:t>
      </w:r>
      <w:r w:rsidR="00642DF3" w:rsidRPr="00B16F76">
        <w:rPr>
          <w:rFonts w:asciiTheme="minorHAnsi" w:hAnsiTheme="minorHAnsi" w:cs="Arial"/>
        </w:rPr>
        <w:t>for acute respira</w:t>
      </w:r>
      <w:r w:rsidR="00642DF3">
        <w:rPr>
          <w:rFonts w:asciiTheme="minorHAnsi" w:hAnsiTheme="minorHAnsi" w:cs="Arial"/>
        </w:rPr>
        <w:t>tory infections in primary care; and</w:t>
      </w:r>
    </w:p>
    <w:p w:rsidR="00C665F0" w:rsidRDefault="0090379B" w:rsidP="001F1858">
      <w:pPr>
        <w:pStyle w:val="ListParagraph"/>
        <w:numPr>
          <w:ilvl w:val="1"/>
          <w:numId w:val="13"/>
        </w:numPr>
        <w:spacing w:after="120"/>
        <w:contextualSpacing w:val="0"/>
        <w:rPr>
          <w:rFonts w:asciiTheme="minorHAnsi" w:hAnsiTheme="minorHAnsi" w:cs="Arial"/>
        </w:rPr>
      </w:pPr>
      <w:r>
        <w:rPr>
          <w:rFonts w:asciiTheme="minorHAnsi" w:hAnsiTheme="minorHAnsi" w:cs="Arial"/>
        </w:rPr>
        <w:t xml:space="preserve">the </w:t>
      </w:r>
      <w:r w:rsidR="005F7D01" w:rsidRPr="0090379B">
        <w:rPr>
          <w:rFonts w:asciiTheme="minorHAnsi" w:hAnsiTheme="minorHAnsi" w:cs="Arial"/>
        </w:rPr>
        <w:t>National Centre for Antimicrobial Stewardship</w:t>
      </w:r>
      <w:r>
        <w:rPr>
          <w:rFonts w:asciiTheme="minorHAnsi" w:hAnsiTheme="minorHAnsi" w:cs="Arial"/>
        </w:rPr>
        <w:t xml:space="preserve">, which </w:t>
      </w:r>
      <w:r w:rsidR="005F7D01" w:rsidRPr="0090379B">
        <w:rPr>
          <w:rFonts w:asciiTheme="minorHAnsi" w:hAnsiTheme="minorHAnsi" w:cs="Arial"/>
        </w:rPr>
        <w:t xml:space="preserve">will contribute to the development of stewardship interventions </w:t>
      </w:r>
      <w:r w:rsidR="0059486C" w:rsidRPr="0090379B">
        <w:rPr>
          <w:rFonts w:asciiTheme="minorHAnsi" w:hAnsiTheme="minorHAnsi" w:cs="Arial"/>
        </w:rPr>
        <w:t xml:space="preserve">across </w:t>
      </w:r>
      <w:r w:rsidR="005F7D01" w:rsidRPr="0090379B">
        <w:rPr>
          <w:rFonts w:asciiTheme="minorHAnsi" w:hAnsiTheme="minorHAnsi" w:cs="Arial"/>
        </w:rPr>
        <w:t>sectors</w:t>
      </w:r>
      <w:r w:rsidR="00876F31">
        <w:rPr>
          <w:rFonts w:asciiTheme="minorHAnsi" w:hAnsiTheme="minorHAnsi" w:cs="Arial"/>
        </w:rPr>
        <w:t>,</w:t>
      </w:r>
      <w:r w:rsidR="005F7D01" w:rsidRPr="0090379B">
        <w:rPr>
          <w:rFonts w:asciiTheme="minorHAnsi" w:hAnsiTheme="minorHAnsi" w:cs="Arial"/>
        </w:rPr>
        <w:t xml:space="preserve"> including</w:t>
      </w:r>
      <w:r w:rsidR="0059486C" w:rsidRPr="0090379B">
        <w:rPr>
          <w:rFonts w:asciiTheme="minorHAnsi" w:hAnsiTheme="minorHAnsi" w:cs="Arial"/>
        </w:rPr>
        <w:t xml:space="preserve">: </w:t>
      </w:r>
      <w:r w:rsidR="005F7D01" w:rsidRPr="0090379B">
        <w:rPr>
          <w:rFonts w:asciiTheme="minorHAnsi" w:hAnsiTheme="minorHAnsi" w:cs="Arial"/>
        </w:rPr>
        <w:t>general practice</w:t>
      </w:r>
      <w:r w:rsidR="0059486C" w:rsidRPr="0090379B">
        <w:rPr>
          <w:rFonts w:asciiTheme="minorHAnsi" w:hAnsiTheme="minorHAnsi" w:cs="Arial"/>
        </w:rPr>
        <w:t xml:space="preserve">; </w:t>
      </w:r>
      <w:r w:rsidR="005F7D01" w:rsidRPr="0090379B">
        <w:rPr>
          <w:rFonts w:asciiTheme="minorHAnsi" w:hAnsiTheme="minorHAnsi" w:cs="Arial"/>
        </w:rPr>
        <w:t>regional and remote hospital settings</w:t>
      </w:r>
      <w:r w:rsidR="0059486C" w:rsidRPr="0090379B">
        <w:rPr>
          <w:rFonts w:asciiTheme="minorHAnsi" w:hAnsiTheme="minorHAnsi" w:cs="Arial"/>
        </w:rPr>
        <w:t xml:space="preserve">; </w:t>
      </w:r>
      <w:r w:rsidR="005F7D01" w:rsidRPr="0090379B">
        <w:rPr>
          <w:rFonts w:asciiTheme="minorHAnsi" w:hAnsiTheme="minorHAnsi" w:cs="Arial"/>
        </w:rPr>
        <w:t>nursing</w:t>
      </w:r>
      <w:r w:rsidR="0059486C" w:rsidRPr="0090379B">
        <w:rPr>
          <w:rFonts w:asciiTheme="minorHAnsi" w:hAnsiTheme="minorHAnsi" w:cs="Arial"/>
        </w:rPr>
        <w:t xml:space="preserve">; </w:t>
      </w:r>
      <w:r w:rsidR="005F7D01" w:rsidRPr="0090379B">
        <w:rPr>
          <w:rFonts w:asciiTheme="minorHAnsi" w:hAnsiTheme="minorHAnsi" w:cs="Arial"/>
        </w:rPr>
        <w:t>surgery in tertiary hospitals</w:t>
      </w:r>
      <w:r w:rsidR="0059486C" w:rsidRPr="0090379B">
        <w:rPr>
          <w:rFonts w:asciiTheme="minorHAnsi" w:hAnsiTheme="minorHAnsi" w:cs="Arial"/>
        </w:rPr>
        <w:t xml:space="preserve">; </w:t>
      </w:r>
      <w:r w:rsidR="005F7D01" w:rsidRPr="0090379B">
        <w:rPr>
          <w:rFonts w:asciiTheme="minorHAnsi" w:hAnsiTheme="minorHAnsi" w:cs="Arial"/>
        </w:rPr>
        <w:t>aged-care settings</w:t>
      </w:r>
      <w:r w:rsidR="0059486C" w:rsidRPr="0090379B">
        <w:rPr>
          <w:rFonts w:asciiTheme="minorHAnsi" w:hAnsiTheme="minorHAnsi" w:cs="Arial"/>
        </w:rPr>
        <w:t xml:space="preserve">; </w:t>
      </w:r>
      <w:r w:rsidR="005F7D01" w:rsidRPr="0090379B">
        <w:rPr>
          <w:rFonts w:asciiTheme="minorHAnsi" w:hAnsiTheme="minorHAnsi" w:cs="Arial"/>
        </w:rPr>
        <w:t>veterinary</w:t>
      </w:r>
      <w:r w:rsidR="00BF1D28">
        <w:rPr>
          <w:rFonts w:asciiTheme="minorHAnsi" w:hAnsiTheme="minorHAnsi" w:cs="Arial"/>
        </w:rPr>
        <w:t xml:space="preserve"> settings for companion animals</w:t>
      </w:r>
      <w:r w:rsidR="005F7D01" w:rsidRPr="0090379B">
        <w:rPr>
          <w:rFonts w:asciiTheme="minorHAnsi" w:hAnsiTheme="minorHAnsi" w:cs="Arial"/>
        </w:rPr>
        <w:t xml:space="preserve"> and livestock.</w:t>
      </w:r>
    </w:p>
    <w:p w:rsidR="005F7D01" w:rsidRPr="00F37109" w:rsidRDefault="00161D32" w:rsidP="005F7D01">
      <w:pPr>
        <w:pStyle w:val="ListParagraph"/>
        <w:numPr>
          <w:ilvl w:val="0"/>
          <w:numId w:val="26"/>
        </w:numPr>
        <w:spacing w:after="120"/>
        <w:rPr>
          <w:rFonts w:asciiTheme="minorHAnsi" w:hAnsiTheme="minorHAnsi" w:cs="Arial"/>
          <w:b/>
          <w:bCs/>
          <w:iCs/>
        </w:rPr>
      </w:pPr>
      <w:r w:rsidRPr="00F37109">
        <w:rPr>
          <w:rFonts w:asciiTheme="minorHAnsi" w:hAnsiTheme="minorHAnsi" w:cs="Arial"/>
        </w:rPr>
        <w:t xml:space="preserve">The </w:t>
      </w:r>
      <w:r w:rsidR="003159D0" w:rsidRPr="00F37109">
        <w:rPr>
          <w:rFonts w:asciiTheme="minorHAnsi" w:hAnsiTheme="minorHAnsi" w:cs="Arial"/>
        </w:rPr>
        <w:t xml:space="preserve">AMR Targeted Call for Research under the Medical Research Future Fund is aimed at </w:t>
      </w:r>
      <w:r w:rsidRPr="00F37109">
        <w:rPr>
          <w:rFonts w:asciiTheme="minorHAnsi" w:hAnsiTheme="minorHAnsi" w:cs="Arial"/>
        </w:rPr>
        <w:t>stimulating research</w:t>
      </w:r>
      <w:r w:rsidR="003159D0" w:rsidRPr="00F37109">
        <w:rPr>
          <w:rFonts w:asciiTheme="minorHAnsi" w:hAnsiTheme="minorHAnsi" w:cs="Arial"/>
        </w:rPr>
        <w:t xml:space="preserve"> on novel and innovative methodologies, such as genomics, to determine AMR profiles and transmission within and to/from</w:t>
      </w:r>
      <w:r w:rsidR="003159D0" w:rsidRPr="00F37109">
        <w:rPr>
          <w:rFonts w:asciiTheme="minorHAnsi" w:hAnsiTheme="minorHAnsi"/>
          <w:color w:val="222222"/>
          <w:lang w:eastAsia="en-AU"/>
        </w:rPr>
        <w:t xml:space="preserve"> aged care </w:t>
      </w:r>
      <w:r w:rsidR="00876F31" w:rsidRPr="00F37109">
        <w:rPr>
          <w:rFonts w:asciiTheme="minorHAnsi" w:hAnsiTheme="minorHAnsi"/>
          <w:color w:val="222222"/>
          <w:lang w:eastAsia="en-AU"/>
        </w:rPr>
        <w:t>hom</w:t>
      </w:r>
      <w:r w:rsidR="003159D0" w:rsidRPr="00F37109">
        <w:rPr>
          <w:rFonts w:asciiTheme="minorHAnsi" w:hAnsiTheme="minorHAnsi"/>
          <w:color w:val="222222"/>
          <w:lang w:eastAsia="en-AU"/>
        </w:rPr>
        <w:t>es</w:t>
      </w:r>
      <w:r w:rsidRPr="00F37109">
        <w:rPr>
          <w:rFonts w:asciiTheme="minorHAnsi" w:hAnsiTheme="minorHAnsi"/>
          <w:color w:val="222222"/>
          <w:lang w:eastAsia="en-AU"/>
        </w:rPr>
        <w:t>. Data arising</w:t>
      </w:r>
      <w:r w:rsidRPr="00F37109">
        <w:rPr>
          <w:rFonts w:asciiTheme="minorHAnsi" w:hAnsiTheme="minorHAnsi" w:cs="Arial"/>
        </w:rPr>
        <w:t xml:space="preserve"> from this research </w:t>
      </w:r>
      <w:r w:rsidRPr="00F37109">
        <w:rPr>
          <w:rFonts w:asciiTheme="minorHAnsi" w:hAnsiTheme="minorHAnsi"/>
          <w:color w:val="222222"/>
          <w:lang w:eastAsia="en-AU"/>
        </w:rPr>
        <w:t xml:space="preserve">will be used to inform the development, implementation and enhancement of AMS initiatives in </w:t>
      </w:r>
      <w:r w:rsidR="00BF1D28" w:rsidRPr="00F37109">
        <w:rPr>
          <w:rFonts w:asciiTheme="minorHAnsi" w:hAnsiTheme="minorHAnsi"/>
          <w:color w:val="222222"/>
          <w:lang w:eastAsia="en-AU"/>
        </w:rPr>
        <w:t xml:space="preserve">this </w:t>
      </w:r>
      <w:r w:rsidR="00876F31" w:rsidRPr="00F37109">
        <w:rPr>
          <w:rFonts w:asciiTheme="minorHAnsi" w:hAnsiTheme="minorHAnsi"/>
          <w:color w:val="222222"/>
          <w:lang w:eastAsia="en-AU"/>
        </w:rPr>
        <w:t>setting</w:t>
      </w:r>
      <w:r w:rsidRPr="00F37109">
        <w:rPr>
          <w:rFonts w:asciiTheme="minorHAnsi" w:hAnsiTheme="minorHAnsi"/>
          <w:color w:val="222222"/>
          <w:lang w:eastAsia="en-AU"/>
        </w:rPr>
        <w:t>.</w:t>
      </w:r>
      <w:r w:rsidR="005F7D01" w:rsidRPr="00F37109">
        <w:rPr>
          <w:rFonts w:asciiTheme="minorHAnsi" w:hAnsiTheme="minorHAnsi"/>
          <w:i/>
        </w:rPr>
        <w:br w:type="page"/>
      </w:r>
    </w:p>
    <w:tbl>
      <w:tblPr>
        <w:tblStyle w:val="TableGrid"/>
        <w:tblpPr w:leftFromText="180" w:rightFromText="180" w:vertAnchor="page" w:horzAnchor="margin" w:tblpY="1006"/>
        <w:tblW w:w="0" w:type="auto"/>
        <w:shd w:val="clear" w:color="auto" w:fill="C6D9F1" w:themeFill="text2" w:themeFillTint="33"/>
        <w:tblLook w:val="00A0" w:firstRow="1" w:lastRow="0" w:firstColumn="1" w:lastColumn="0" w:noHBand="0" w:noVBand="0"/>
        <w:tblCaption w:val="Obejctive 3: Develop nationally coordinated One Health surveillance of AMR and antimicrobial usage."/>
      </w:tblPr>
      <w:tblGrid>
        <w:gridCol w:w="9242"/>
      </w:tblGrid>
      <w:tr w:rsidR="00E43867" w:rsidTr="00E43867">
        <w:trPr>
          <w:tblHeader/>
        </w:trPr>
        <w:tc>
          <w:tcPr>
            <w:tcW w:w="9242" w:type="dxa"/>
            <w:shd w:val="clear" w:color="auto" w:fill="C6D9F1" w:themeFill="text2" w:themeFillTint="33"/>
          </w:tcPr>
          <w:p w:rsidR="00E43867" w:rsidRPr="008F74B4" w:rsidRDefault="00E43867" w:rsidP="00D41907">
            <w:pPr>
              <w:pStyle w:val="Heading2"/>
              <w:outlineLvl w:val="1"/>
              <w:rPr>
                <w:rFonts w:eastAsia="Calibri" w:cs="Times New Roman"/>
                <w:color w:val="215868" w:themeColor="accent5" w:themeShade="80"/>
              </w:rPr>
            </w:pPr>
            <w:bookmarkStart w:id="9" w:name="_Toc498070417"/>
            <w:r w:rsidRPr="008F74B4">
              <w:rPr>
                <w:rFonts w:eastAsia="Calibri" w:cs="Times New Roman"/>
              </w:rPr>
              <w:lastRenderedPageBreak/>
              <w:t xml:space="preserve">Objective 3: </w:t>
            </w:r>
            <w:r w:rsidRPr="008F74B4">
              <w:rPr>
                <w:rFonts w:cs="Antique Olive CE"/>
              </w:rPr>
              <w:t xml:space="preserve">Develop nationally coordinated One Health </w:t>
            </w:r>
            <w:r w:rsidRPr="008F74B4">
              <w:t>surveillance of AMR and antimicrobial usage.</w:t>
            </w:r>
            <w:bookmarkEnd w:id="9"/>
          </w:p>
        </w:tc>
      </w:tr>
    </w:tbl>
    <w:p w:rsidR="00290724" w:rsidRPr="005177FE" w:rsidRDefault="00290724" w:rsidP="003C47C6">
      <w:pPr>
        <w:rPr>
          <w:rFonts w:asciiTheme="minorHAnsi" w:hAnsiTheme="minorHAnsi"/>
        </w:rPr>
      </w:pPr>
    </w:p>
    <w:p w:rsidR="003C47C6" w:rsidRPr="004146B6" w:rsidRDefault="003C47C6" w:rsidP="00445D1A">
      <w:pPr>
        <w:pStyle w:val="Heading3"/>
      </w:pPr>
      <w:r w:rsidRPr="004146B6">
        <w:t>Introduction</w:t>
      </w:r>
    </w:p>
    <w:p w:rsidR="003C47C6" w:rsidRDefault="003C47C6" w:rsidP="00D667C4">
      <w:pPr>
        <w:spacing w:after="120"/>
        <w:rPr>
          <w:rFonts w:asciiTheme="minorHAnsi" w:hAnsiTheme="minorHAnsi" w:cs="Arial"/>
        </w:rPr>
      </w:pPr>
      <w:r w:rsidRPr="004B457F">
        <w:rPr>
          <w:rFonts w:asciiTheme="minorHAnsi" w:hAnsiTheme="minorHAnsi" w:cs="Arial"/>
        </w:rPr>
        <w:t>Nationally harmonised and coordinated surveillance of AMR and antimicrobial usage is essential to understand the magnitude, distribution and impact of resistan</w:t>
      </w:r>
      <w:r w:rsidR="00D00712">
        <w:rPr>
          <w:rFonts w:asciiTheme="minorHAnsi" w:hAnsiTheme="minorHAnsi" w:cs="Arial"/>
        </w:rPr>
        <w:t>t</w:t>
      </w:r>
      <w:r w:rsidRPr="004B457F">
        <w:rPr>
          <w:rFonts w:asciiTheme="minorHAnsi" w:hAnsiTheme="minorHAnsi" w:cs="Arial"/>
        </w:rPr>
        <w:t xml:space="preserve"> organisms and antimicrobial usage, identify emerging resistance and trends, and determine associations between usage and resistance. Surveillance data provide evidence to evaluate policies, set priorities and identify where immediate action is required and where resources need to be targeted. </w:t>
      </w:r>
      <w:r w:rsidR="00240303">
        <w:rPr>
          <w:rFonts w:asciiTheme="minorHAnsi" w:hAnsiTheme="minorHAnsi" w:cs="Arial"/>
        </w:rPr>
        <w:t>T</w:t>
      </w:r>
      <w:r w:rsidR="00240303" w:rsidRPr="00595F8B">
        <w:rPr>
          <w:rFonts w:asciiTheme="minorHAnsi" w:hAnsiTheme="minorHAnsi" w:cs="Arial"/>
        </w:rPr>
        <w:t>he long term goal is to esta</w:t>
      </w:r>
      <w:r w:rsidR="00B32F4D">
        <w:rPr>
          <w:rFonts w:asciiTheme="minorHAnsi" w:hAnsiTheme="minorHAnsi" w:cs="Arial"/>
        </w:rPr>
        <w:t>blish an integrated One Health surveillance s</w:t>
      </w:r>
      <w:r w:rsidR="00240303" w:rsidRPr="00595F8B">
        <w:rPr>
          <w:rFonts w:asciiTheme="minorHAnsi" w:hAnsiTheme="minorHAnsi" w:cs="Arial"/>
        </w:rPr>
        <w:t>ystem</w:t>
      </w:r>
      <w:r w:rsidR="00240303">
        <w:rPr>
          <w:rFonts w:asciiTheme="minorHAnsi" w:hAnsiTheme="minorHAnsi" w:cs="Arial"/>
        </w:rPr>
        <w:t>.</w:t>
      </w:r>
    </w:p>
    <w:p w:rsidR="00C02BAA" w:rsidRPr="004146B6" w:rsidRDefault="002B63B6" w:rsidP="00445D1A">
      <w:pPr>
        <w:pStyle w:val="Heading3"/>
      </w:pPr>
      <w:r w:rsidRPr="004146B6">
        <w:t>What have we achieved?</w:t>
      </w:r>
    </w:p>
    <w:p w:rsidR="005F3BA8" w:rsidRPr="00AE0291" w:rsidRDefault="005F3BA8" w:rsidP="00445D1A">
      <w:pPr>
        <w:pStyle w:val="Heading4"/>
      </w:pPr>
      <w:r w:rsidRPr="00AE0291">
        <w:t>One Health</w:t>
      </w:r>
    </w:p>
    <w:p w:rsidR="005F3BA8" w:rsidRPr="0074610A" w:rsidRDefault="005F3BA8" w:rsidP="005F3BA8">
      <w:pPr>
        <w:pStyle w:val="ListParagraph"/>
        <w:numPr>
          <w:ilvl w:val="0"/>
          <w:numId w:val="13"/>
        </w:numPr>
        <w:spacing w:after="120"/>
        <w:contextualSpacing w:val="0"/>
        <w:rPr>
          <w:rFonts w:asciiTheme="minorHAnsi" w:hAnsiTheme="minorHAnsi" w:cs="Arial"/>
        </w:rPr>
      </w:pPr>
      <w:r w:rsidRPr="00E37D6C">
        <w:rPr>
          <w:rFonts w:asciiTheme="minorHAnsi" w:hAnsiTheme="minorHAnsi" w:cs="Arial"/>
        </w:rPr>
        <w:t>The Australian Government Department of Health is</w:t>
      </w:r>
      <w:r>
        <w:rPr>
          <w:rFonts w:asciiTheme="minorHAnsi" w:hAnsiTheme="minorHAnsi" w:cs="Arial"/>
        </w:rPr>
        <w:t xml:space="preserve"> funding a </w:t>
      </w:r>
      <w:r w:rsidRPr="00E37D6C">
        <w:rPr>
          <w:rFonts w:asciiTheme="minorHAnsi" w:hAnsiTheme="minorHAnsi"/>
        </w:rPr>
        <w:t>literature review to determine the extent to which AMR is present in food, the extent to which food is a route of transmission of AMR, and to identify gaps to inform decision making about the extent of surveil</w:t>
      </w:r>
      <w:r>
        <w:rPr>
          <w:rFonts w:asciiTheme="minorHAnsi" w:hAnsiTheme="minorHAnsi"/>
        </w:rPr>
        <w:t>lance required and future work.</w:t>
      </w:r>
    </w:p>
    <w:p w:rsidR="005F3BA8" w:rsidRDefault="005F3BA8" w:rsidP="005F3BA8">
      <w:pPr>
        <w:pStyle w:val="ListParagraph"/>
        <w:numPr>
          <w:ilvl w:val="0"/>
          <w:numId w:val="13"/>
        </w:numPr>
        <w:spacing w:after="120"/>
        <w:contextualSpacing w:val="0"/>
        <w:rPr>
          <w:rFonts w:asciiTheme="minorHAnsi" w:hAnsiTheme="minorHAnsi" w:cs="Arial"/>
        </w:rPr>
      </w:pPr>
      <w:r w:rsidRPr="0063019B">
        <w:rPr>
          <w:rFonts w:asciiTheme="minorHAnsi" w:hAnsiTheme="minorHAnsi" w:cs="Arial"/>
        </w:rPr>
        <w:t xml:space="preserve">Food Standards Australia New Zealand (FSANZ) has recently initiated a project on </w:t>
      </w:r>
      <w:r w:rsidRPr="00F37109">
        <w:rPr>
          <w:rFonts w:asciiTheme="minorHAnsi" w:hAnsiTheme="minorHAnsi" w:cs="Arial"/>
        </w:rPr>
        <w:t>AMR in the food supply chain, which aims to clarify the role of FSANZ in assessing</w:t>
      </w:r>
      <w:r w:rsidRPr="0063019B">
        <w:rPr>
          <w:rFonts w:asciiTheme="minorHAnsi" w:hAnsiTheme="minorHAnsi" w:cs="Arial"/>
        </w:rPr>
        <w:t xml:space="preserve"> AMR in a multiagency One Health regulatory environment, and establish a framework to assess the risks of AMR in the food supply for Australian consumers.</w:t>
      </w:r>
    </w:p>
    <w:p w:rsidR="005F3BA8" w:rsidRPr="0063019B" w:rsidRDefault="005F3BA8" w:rsidP="005F3BA8">
      <w:pPr>
        <w:pStyle w:val="ListParagraph"/>
        <w:numPr>
          <w:ilvl w:val="0"/>
          <w:numId w:val="13"/>
        </w:numPr>
        <w:spacing w:after="120"/>
        <w:ind w:left="714" w:hanging="357"/>
        <w:contextualSpacing w:val="0"/>
        <w:rPr>
          <w:rFonts w:asciiTheme="minorHAnsi" w:hAnsiTheme="minorHAnsi" w:cs="Arial"/>
        </w:rPr>
      </w:pPr>
      <w:r w:rsidRPr="0063019B">
        <w:rPr>
          <w:rFonts w:asciiTheme="minorHAnsi" w:hAnsiTheme="minorHAnsi" w:cs="Arial"/>
        </w:rPr>
        <w:t xml:space="preserve">Macquarie University </w:t>
      </w:r>
      <w:r w:rsidR="00F37109">
        <w:rPr>
          <w:rFonts w:asciiTheme="minorHAnsi" w:eastAsia="Calibri" w:hAnsiTheme="minorHAnsi" w:cs="Arial"/>
        </w:rPr>
        <w:t xml:space="preserve">is </w:t>
      </w:r>
      <w:r w:rsidRPr="0063019B">
        <w:rPr>
          <w:rFonts w:asciiTheme="minorHAnsi" w:eastAsia="Calibri" w:hAnsiTheme="minorHAnsi" w:cs="Arial"/>
        </w:rPr>
        <w:t>investigat</w:t>
      </w:r>
      <w:r>
        <w:rPr>
          <w:rFonts w:asciiTheme="minorHAnsi" w:eastAsia="Calibri" w:hAnsiTheme="minorHAnsi" w:cs="Arial"/>
        </w:rPr>
        <w:t>ing</w:t>
      </w:r>
      <w:r w:rsidRPr="0063019B">
        <w:rPr>
          <w:rFonts w:asciiTheme="minorHAnsi" w:eastAsia="Calibri" w:hAnsiTheme="minorHAnsi" w:cs="Arial"/>
        </w:rPr>
        <w:t xml:space="preserve"> the ecology of drug resistant pathogenic </w:t>
      </w:r>
      <w:r w:rsidRPr="0063019B">
        <w:rPr>
          <w:rFonts w:asciiTheme="minorHAnsi" w:eastAsia="Calibri" w:hAnsiTheme="minorHAnsi" w:cs="Arial"/>
          <w:i/>
        </w:rPr>
        <w:t>E.</w:t>
      </w:r>
      <w:r w:rsidR="00F37109">
        <w:rPr>
          <w:rFonts w:asciiTheme="minorHAnsi" w:eastAsia="Calibri" w:hAnsiTheme="minorHAnsi" w:cs="Arial"/>
          <w:i/>
        </w:rPr>
        <w:t> </w:t>
      </w:r>
      <w:r w:rsidRPr="0063019B">
        <w:rPr>
          <w:rFonts w:asciiTheme="minorHAnsi" w:eastAsia="Calibri" w:hAnsiTheme="minorHAnsi" w:cs="Arial"/>
          <w:i/>
        </w:rPr>
        <w:t>coli</w:t>
      </w:r>
      <w:r w:rsidRPr="0063019B">
        <w:rPr>
          <w:rFonts w:asciiTheme="minorHAnsi" w:eastAsia="Calibri" w:hAnsiTheme="minorHAnsi" w:cs="Arial"/>
        </w:rPr>
        <w:t xml:space="preserve">, </w:t>
      </w:r>
      <w:r w:rsidRPr="00F37109">
        <w:rPr>
          <w:rFonts w:asciiTheme="minorHAnsi" w:eastAsia="Calibri" w:hAnsiTheme="minorHAnsi" w:cs="Arial"/>
          <w:i/>
        </w:rPr>
        <w:t>Salmonella</w:t>
      </w:r>
      <w:r w:rsidR="005F2E27">
        <w:rPr>
          <w:rFonts w:asciiTheme="minorHAnsi" w:eastAsia="Calibri" w:hAnsiTheme="minorHAnsi" w:cs="Arial"/>
        </w:rPr>
        <w:t xml:space="preserve"> and c</w:t>
      </w:r>
      <w:r w:rsidRPr="0063019B">
        <w:rPr>
          <w:rFonts w:asciiTheme="minorHAnsi" w:eastAsia="Calibri" w:hAnsiTheme="minorHAnsi" w:cs="Arial"/>
        </w:rPr>
        <w:t xml:space="preserve">arbapenem-resistant </w:t>
      </w:r>
      <w:r w:rsidRPr="00F37109">
        <w:rPr>
          <w:rFonts w:asciiTheme="minorHAnsi" w:eastAsia="Calibri" w:hAnsiTheme="minorHAnsi" w:cs="Arial"/>
        </w:rPr>
        <w:t>Enterobacteriacea</w:t>
      </w:r>
      <w:r w:rsidR="00F37109">
        <w:rPr>
          <w:rFonts w:asciiTheme="minorHAnsi" w:eastAsia="Calibri" w:hAnsiTheme="minorHAnsi" w:cs="Arial"/>
        </w:rPr>
        <w:t>e</w:t>
      </w:r>
      <w:r w:rsidRPr="0063019B">
        <w:rPr>
          <w:rFonts w:asciiTheme="minorHAnsi" w:eastAsia="Calibri" w:hAnsiTheme="minorHAnsi" w:cs="Arial"/>
        </w:rPr>
        <w:t xml:space="preserve"> isolated from flying foxes and possums undergoing care and rehabilitation, and will determine the significance of reverse zoonoses to AMR ecology (AMR gene carriage and antimicrobial susceptibility patterns). The research is due for completion in 2020.</w:t>
      </w:r>
    </w:p>
    <w:p w:rsidR="005F3BA8" w:rsidRDefault="005F3BA8" w:rsidP="005F3BA8">
      <w:pPr>
        <w:pStyle w:val="ListParagraph"/>
        <w:numPr>
          <w:ilvl w:val="0"/>
          <w:numId w:val="13"/>
        </w:numPr>
        <w:spacing w:after="120"/>
        <w:ind w:left="714" w:hanging="357"/>
        <w:contextualSpacing w:val="0"/>
        <w:rPr>
          <w:rFonts w:asciiTheme="minorHAnsi" w:eastAsia="Calibri" w:hAnsiTheme="minorHAnsi" w:cs="Arial"/>
        </w:rPr>
      </w:pPr>
      <w:r w:rsidRPr="0063019B">
        <w:rPr>
          <w:rFonts w:asciiTheme="minorHAnsi" w:eastAsia="Calibri" w:hAnsiTheme="minorHAnsi" w:cs="Arial"/>
        </w:rPr>
        <w:t>The University of Queensland ha</w:t>
      </w:r>
      <w:r w:rsidR="00F37109">
        <w:rPr>
          <w:rFonts w:asciiTheme="minorHAnsi" w:eastAsia="Calibri" w:hAnsiTheme="minorHAnsi" w:cs="Arial"/>
        </w:rPr>
        <w:t>s</w:t>
      </w:r>
      <w:r w:rsidRPr="0063019B">
        <w:rPr>
          <w:rFonts w:asciiTheme="minorHAnsi" w:eastAsia="Calibri" w:hAnsiTheme="minorHAnsi" w:cs="Arial"/>
        </w:rPr>
        <w:t xml:space="preserve"> completed project</w:t>
      </w:r>
      <w:r>
        <w:rPr>
          <w:rFonts w:asciiTheme="minorHAnsi" w:eastAsia="Calibri" w:hAnsiTheme="minorHAnsi" w:cs="Arial"/>
        </w:rPr>
        <w:t>s on</w:t>
      </w:r>
      <w:r w:rsidRPr="0063019B">
        <w:rPr>
          <w:rFonts w:asciiTheme="minorHAnsi" w:eastAsia="Calibri" w:hAnsiTheme="minorHAnsi" w:cs="Arial"/>
        </w:rPr>
        <w:t xml:space="preserve"> investigating AMR in </w:t>
      </w:r>
      <w:r w:rsidRPr="0063019B">
        <w:rPr>
          <w:rFonts w:asciiTheme="minorHAnsi" w:eastAsia="Calibri" w:hAnsiTheme="minorHAnsi" w:cs="Arial"/>
          <w:i/>
        </w:rPr>
        <w:t>E</w:t>
      </w:r>
      <w:r w:rsidR="00F37109">
        <w:rPr>
          <w:rFonts w:asciiTheme="minorHAnsi" w:eastAsia="Calibri" w:hAnsiTheme="minorHAnsi" w:cs="Arial"/>
          <w:i/>
        </w:rPr>
        <w:t>. </w:t>
      </w:r>
      <w:r w:rsidRPr="0063019B">
        <w:rPr>
          <w:rFonts w:asciiTheme="minorHAnsi" w:eastAsia="Calibri" w:hAnsiTheme="minorHAnsi" w:cs="Arial"/>
          <w:i/>
        </w:rPr>
        <w:t>coli</w:t>
      </w:r>
      <w:r w:rsidRPr="0063019B">
        <w:rPr>
          <w:rFonts w:asciiTheme="minorHAnsi" w:eastAsia="Calibri" w:hAnsiTheme="minorHAnsi" w:cs="Arial"/>
        </w:rPr>
        <w:t xml:space="preserve">, </w:t>
      </w:r>
      <w:r w:rsidRPr="00F37109">
        <w:rPr>
          <w:rFonts w:asciiTheme="minorHAnsi" w:eastAsia="Calibri" w:hAnsiTheme="minorHAnsi" w:cs="Arial"/>
          <w:i/>
        </w:rPr>
        <w:t>Salmonella</w:t>
      </w:r>
      <w:r w:rsidRPr="0063019B">
        <w:rPr>
          <w:rFonts w:asciiTheme="minorHAnsi" w:eastAsia="Calibri" w:hAnsiTheme="minorHAnsi" w:cs="Arial"/>
        </w:rPr>
        <w:t xml:space="preserve"> and </w:t>
      </w:r>
      <w:r w:rsidRPr="00F37109">
        <w:rPr>
          <w:rFonts w:asciiTheme="minorHAnsi" w:eastAsia="Calibri" w:hAnsiTheme="minorHAnsi" w:cs="Arial"/>
          <w:i/>
        </w:rPr>
        <w:t>Campylobacter</w:t>
      </w:r>
      <w:r w:rsidRPr="0063019B">
        <w:rPr>
          <w:rFonts w:asciiTheme="minorHAnsi" w:eastAsia="Calibri" w:hAnsiTheme="minorHAnsi" w:cs="Arial"/>
        </w:rPr>
        <w:t xml:space="preserve"> in backyard chickens and the health risk posed to humans</w:t>
      </w:r>
      <w:r>
        <w:rPr>
          <w:rFonts w:asciiTheme="minorHAnsi" w:eastAsia="Calibri" w:hAnsiTheme="minorHAnsi" w:cs="Arial"/>
        </w:rPr>
        <w:t>.</w:t>
      </w:r>
    </w:p>
    <w:p w:rsidR="005F3BA8" w:rsidRPr="00C0371B" w:rsidRDefault="005F3BA8" w:rsidP="005F3BA8">
      <w:pPr>
        <w:pStyle w:val="ListParagraph"/>
        <w:numPr>
          <w:ilvl w:val="0"/>
          <w:numId w:val="13"/>
        </w:numPr>
        <w:spacing w:after="120"/>
        <w:contextualSpacing w:val="0"/>
        <w:rPr>
          <w:rFonts w:asciiTheme="minorHAnsi" w:hAnsiTheme="minorHAnsi" w:cs="Arial"/>
        </w:rPr>
      </w:pPr>
      <w:r w:rsidRPr="00163D24">
        <w:rPr>
          <w:rFonts w:asciiTheme="minorHAnsi" w:hAnsiTheme="minorHAnsi" w:cs="Arial"/>
        </w:rPr>
        <w:t>The University of Sydney ha</w:t>
      </w:r>
      <w:r w:rsidR="00F37109">
        <w:rPr>
          <w:rFonts w:asciiTheme="minorHAnsi" w:hAnsiTheme="minorHAnsi" w:cs="Arial"/>
        </w:rPr>
        <w:t>s</w:t>
      </w:r>
      <w:r w:rsidRPr="00163D24">
        <w:rPr>
          <w:rFonts w:asciiTheme="minorHAnsi" w:hAnsiTheme="minorHAnsi" w:cs="Arial"/>
        </w:rPr>
        <w:t xml:space="preserve"> </w:t>
      </w:r>
      <w:r w:rsidRPr="00163D24">
        <w:rPr>
          <w:rFonts w:asciiTheme="minorHAnsi" w:eastAsia="Calibri" w:hAnsiTheme="minorHAnsi" w:cs="Arial"/>
        </w:rPr>
        <w:t>undertaken a research project into multi-drug resistant pathogenic</w:t>
      </w:r>
      <w:r w:rsidRPr="00163D24">
        <w:rPr>
          <w:rFonts w:asciiTheme="minorHAnsi" w:eastAsia="Calibri" w:hAnsiTheme="minorHAnsi" w:cs="Arial"/>
          <w:b/>
        </w:rPr>
        <w:t xml:space="preserve"> </w:t>
      </w:r>
      <w:r w:rsidRPr="00163D24">
        <w:rPr>
          <w:rFonts w:asciiTheme="minorHAnsi" w:eastAsia="Calibri" w:hAnsiTheme="minorHAnsi" w:cs="Arial"/>
          <w:i/>
        </w:rPr>
        <w:t>E. coli</w:t>
      </w:r>
      <w:r w:rsidRPr="00163D24">
        <w:rPr>
          <w:rFonts w:asciiTheme="minorHAnsi" w:eastAsia="Calibri" w:hAnsiTheme="minorHAnsi" w:cs="Arial"/>
        </w:rPr>
        <w:t xml:space="preserve"> and methicillin resistant </w:t>
      </w:r>
      <w:r w:rsidRPr="00163D24">
        <w:rPr>
          <w:rFonts w:asciiTheme="minorHAnsi" w:eastAsia="Calibri" w:hAnsiTheme="minorHAnsi" w:cs="Arial"/>
          <w:i/>
        </w:rPr>
        <w:t xml:space="preserve">Staphylococcus </w:t>
      </w:r>
      <w:r w:rsidRPr="00163D24">
        <w:rPr>
          <w:rFonts w:asciiTheme="minorHAnsi" w:eastAsia="Calibri" w:hAnsiTheme="minorHAnsi" w:cs="Arial"/>
        </w:rPr>
        <w:t>sp</w:t>
      </w:r>
      <w:r w:rsidR="00F37109">
        <w:rPr>
          <w:rFonts w:asciiTheme="minorHAnsi" w:eastAsia="Calibri" w:hAnsiTheme="minorHAnsi" w:cs="Arial"/>
        </w:rPr>
        <w:t>ecies</w:t>
      </w:r>
      <w:r w:rsidRPr="00163D24">
        <w:rPr>
          <w:rFonts w:asciiTheme="minorHAnsi" w:eastAsia="Calibri" w:hAnsiTheme="minorHAnsi" w:cs="Arial"/>
        </w:rPr>
        <w:t xml:space="preserve"> isolated from animal infections to determine their significance to animal and public health. The surveillance component has been completed.</w:t>
      </w:r>
    </w:p>
    <w:p w:rsidR="001D4257" w:rsidRPr="00AE0291" w:rsidRDefault="00AB1C51" w:rsidP="00445D1A">
      <w:pPr>
        <w:pStyle w:val="Heading4"/>
      </w:pPr>
      <w:r w:rsidRPr="00AE0291">
        <w:t>Human Health</w:t>
      </w:r>
    </w:p>
    <w:p w:rsidR="00F37109" w:rsidRDefault="00595F8B" w:rsidP="00302198">
      <w:pPr>
        <w:pStyle w:val="ListParagraph"/>
        <w:numPr>
          <w:ilvl w:val="0"/>
          <w:numId w:val="3"/>
        </w:numPr>
        <w:spacing w:before="120"/>
        <w:rPr>
          <w:rFonts w:asciiTheme="minorHAnsi" w:hAnsiTheme="minorHAnsi" w:cs="Arial"/>
        </w:rPr>
      </w:pPr>
      <w:r w:rsidRPr="00595F8B">
        <w:rPr>
          <w:rFonts w:asciiTheme="minorHAnsi" w:hAnsiTheme="minorHAnsi" w:cs="Arial"/>
        </w:rPr>
        <w:t>T</w:t>
      </w:r>
      <w:r w:rsidR="0084295C" w:rsidRPr="00595F8B">
        <w:rPr>
          <w:rFonts w:asciiTheme="minorHAnsi" w:hAnsiTheme="minorHAnsi" w:cs="Arial"/>
        </w:rPr>
        <w:t>he Australian Commission on Safety and Quality in Health Care</w:t>
      </w:r>
      <w:r w:rsidR="00F30495" w:rsidRPr="00595F8B">
        <w:rPr>
          <w:rFonts w:asciiTheme="minorHAnsi" w:hAnsiTheme="minorHAnsi" w:cs="Arial"/>
        </w:rPr>
        <w:t xml:space="preserve"> (</w:t>
      </w:r>
      <w:r w:rsidR="00F37109">
        <w:rPr>
          <w:rFonts w:asciiTheme="minorHAnsi" w:hAnsiTheme="minorHAnsi" w:cs="Arial"/>
        </w:rPr>
        <w:t>the Commission</w:t>
      </w:r>
      <w:r w:rsidR="00F30495" w:rsidRPr="00595F8B">
        <w:rPr>
          <w:rFonts w:asciiTheme="minorHAnsi" w:hAnsiTheme="minorHAnsi" w:cs="Arial"/>
        </w:rPr>
        <w:t>)</w:t>
      </w:r>
      <w:r w:rsidR="0084295C" w:rsidRPr="00595F8B">
        <w:rPr>
          <w:rFonts w:asciiTheme="minorHAnsi" w:hAnsiTheme="minorHAnsi" w:cs="Arial"/>
        </w:rPr>
        <w:t xml:space="preserve"> </w:t>
      </w:r>
      <w:r w:rsidR="00192A3A" w:rsidRPr="00595F8B">
        <w:rPr>
          <w:rFonts w:asciiTheme="minorHAnsi" w:hAnsiTheme="minorHAnsi" w:cs="Arial"/>
        </w:rPr>
        <w:t>has established</w:t>
      </w:r>
      <w:r w:rsidR="0087150D" w:rsidRPr="00595F8B">
        <w:rPr>
          <w:rFonts w:asciiTheme="minorHAnsi" w:hAnsiTheme="minorHAnsi" w:cs="Arial"/>
        </w:rPr>
        <w:t xml:space="preserve"> a</w:t>
      </w:r>
      <w:r w:rsidR="00AF544C" w:rsidRPr="00595F8B">
        <w:rPr>
          <w:rFonts w:asciiTheme="minorHAnsi" w:hAnsiTheme="minorHAnsi" w:cs="Arial"/>
        </w:rPr>
        <w:t xml:space="preserve"> national system for AMR and antimicrobial usage</w:t>
      </w:r>
      <w:r w:rsidR="00CB53E5" w:rsidRPr="00595F8B">
        <w:rPr>
          <w:rFonts w:asciiTheme="minorHAnsi" w:hAnsiTheme="minorHAnsi" w:cs="Arial"/>
        </w:rPr>
        <w:t xml:space="preserve"> surveillance</w:t>
      </w:r>
      <w:r w:rsidR="00297A88" w:rsidRPr="00595F8B">
        <w:rPr>
          <w:rFonts w:asciiTheme="minorHAnsi" w:hAnsiTheme="minorHAnsi" w:cs="Arial"/>
        </w:rPr>
        <w:t xml:space="preserve"> </w:t>
      </w:r>
      <w:r w:rsidR="009041F8" w:rsidRPr="00595F8B">
        <w:rPr>
          <w:rFonts w:asciiTheme="minorHAnsi" w:hAnsiTheme="minorHAnsi" w:cs="Arial"/>
        </w:rPr>
        <w:t xml:space="preserve">in </w:t>
      </w:r>
      <w:r w:rsidR="00AF544C" w:rsidRPr="00595F8B">
        <w:rPr>
          <w:rFonts w:asciiTheme="minorHAnsi" w:hAnsiTheme="minorHAnsi" w:cs="Arial"/>
        </w:rPr>
        <w:t xml:space="preserve">human health (the </w:t>
      </w:r>
      <w:r w:rsidR="00844DBE" w:rsidRPr="00595F8B">
        <w:rPr>
          <w:rFonts w:asciiTheme="minorHAnsi" w:hAnsiTheme="minorHAnsi" w:cs="Arial"/>
        </w:rPr>
        <w:t>‘AURA</w:t>
      </w:r>
      <w:r w:rsidR="00F37109">
        <w:rPr>
          <w:rFonts w:asciiTheme="minorHAnsi" w:hAnsiTheme="minorHAnsi" w:cs="Arial"/>
        </w:rPr>
        <w:t>’</w:t>
      </w:r>
      <w:r w:rsidR="00844DBE" w:rsidRPr="00595F8B">
        <w:rPr>
          <w:rFonts w:asciiTheme="minorHAnsi" w:hAnsiTheme="minorHAnsi" w:cs="Arial"/>
        </w:rPr>
        <w:t xml:space="preserve"> </w:t>
      </w:r>
      <w:r w:rsidR="00F37109">
        <w:rPr>
          <w:rFonts w:asciiTheme="minorHAnsi" w:hAnsiTheme="minorHAnsi" w:cs="Arial"/>
        </w:rPr>
        <w:t>s</w:t>
      </w:r>
      <w:r w:rsidR="00844DBE" w:rsidRPr="00595F8B">
        <w:rPr>
          <w:rFonts w:asciiTheme="minorHAnsi" w:hAnsiTheme="minorHAnsi" w:cs="Arial"/>
        </w:rPr>
        <w:t xml:space="preserve">urveillance </w:t>
      </w:r>
      <w:r w:rsidR="00F37109">
        <w:rPr>
          <w:rFonts w:asciiTheme="minorHAnsi" w:hAnsiTheme="minorHAnsi" w:cs="Arial"/>
        </w:rPr>
        <w:t>s</w:t>
      </w:r>
      <w:r w:rsidR="00844DBE" w:rsidRPr="00595F8B">
        <w:rPr>
          <w:rFonts w:asciiTheme="minorHAnsi" w:hAnsiTheme="minorHAnsi" w:cs="Arial"/>
        </w:rPr>
        <w:t>ystem)</w:t>
      </w:r>
      <w:r>
        <w:rPr>
          <w:rFonts w:asciiTheme="minorHAnsi" w:hAnsiTheme="minorHAnsi" w:cs="Arial"/>
        </w:rPr>
        <w:t xml:space="preserve">, which </w:t>
      </w:r>
      <w:r w:rsidR="00F37109">
        <w:rPr>
          <w:rFonts w:asciiTheme="minorHAnsi" w:hAnsiTheme="minorHAnsi" w:cs="Arial"/>
        </w:rPr>
        <w:t>collects and reports</w:t>
      </w:r>
      <w:r w:rsidR="00F37109" w:rsidRPr="00595F8B">
        <w:rPr>
          <w:rFonts w:asciiTheme="minorHAnsi" w:hAnsiTheme="minorHAnsi" w:cs="Arial"/>
        </w:rPr>
        <w:t xml:space="preserve"> </w:t>
      </w:r>
      <w:r w:rsidR="0031513E" w:rsidRPr="00595F8B">
        <w:rPr>
          <w:rFonts w:asciiTheme="minorHAnsi" w:hAnsiTheme="minorHAnsi" w:cs="Arial"/>
        </w:rPr>
        <w:t xml:space="preserve">data from </w:t>
      </w:r>
      <w:r w:rsidR="005C521B" w:rsidRPr="00595F8B">
        <w:rPr>
          <w:rFonts w:asciiTheme="minorHAnsi" w:hAnsiTheme="minorHAnsi" w:cs="Arial"/>
        </w:rPr>
        <w:t>partner programs</w:t>
      </w:r>
      <w:r w:rsidR="00DE696C" w:rsidRPr="00595F8B">
        <w:rPr>
          <w:rFonts w:asciiTheme="minorHAnsi" w:hAnsiTheme="minorHAnsi" w:cs="Arial"/>
        </w:rPr>
        <w:t xml:space="preserve"> </w:t>
      </w:r>
      <w:r w:rsidR="0005427C" w:rsidRPr="00595F8B">
        <w:rPr>
          <w:rFonts w:asciiTheme="minorHAnsi" w:hAnsiTheme="minorHAnsi" w:cs="Arial"/>
        </w:rPr>
        <w:t xml:space="preserve">across acute and community </w:t>
      </w:r>
      <w:r w:rsidR="00F37109">
        <w:rPr>
          <w:rFonts w:asciiTheme="minorHAnsi" w:hAnsiTheme="minorHAnsi" w:cs="Arial"/>
        </w:rPr>
        <w:t xml:space="preserve">healthcare </w:t>
      </w:r>
      <w:r w:rsidR="0005427C" w:rsidRPr="00595F8B">
        <w:rPr>
          <w:rFonts w:asciiTheme="minorHAnsi" w:hAnsiTheme="minorHAnsi" w:cs="Arial"/>
        </w:rPr>
        <w:t xml:space="preserve">settings, </w:t>
      </w:r>
      <w:r w:rsidR="0031513E" w:rsidRPr="00595F8B">
        <w:rPr>
          <w:rFonts w:asciiTheme="minorHAnsi" w:hAnsiTheme="minorHAnsi" w:cs="Arial"/>
        </w:rPr>
        <w:t xml:space="preserve">and </w:t>
      </w:r>
      <w:r w:rsidR="00302198">
        <w:rPr>
          <w:rFonts w:asciiTheme="minorHAnsi" w:hAnsiTheme="minorHAnsi" w:cs="Arial"/>
        </w:rPr>
        <w:t>provide</w:t>
      </w:r>
      <w:r w:rsidR="0031513E" w:rsidRPr="00595F8B">
        <w:rPr>
          <w:rFonts w:asciiTheme="minorHAnsi" w:hAnsiTheme="minorHAnsi" w:cs="Arial"/>
        </w:rPr>
        <w:t xml:space="preserve">s integrated reporting </w:t>
      </w:r>
      <w:r w:rsidR="00302198">
        <w:rPr>
          <w:rFonts w:asciiTheme="minorHAnsi" w:hAnsiTheme="minorHAnsi" w:cs="Arial"/>
        </w:rPr>
        <w:t xml:space="preserve">on priority organisms and antimicrobial use </w:t>
      </w:r>
      <w:r w:rsidR="0031513E" w:rsidRPr="00595F8B">
        <w:rPr>
          <w:rFonts w:asciiTheme="minorHAnsi" w:hAnsiTheme="minorHAnsi" w:cs="Arial"/>
        </w:rPr>
        <w:t>at a national level.</w:t>
      </w:r>
      <w:r w:rsidR="00844DBE" w:rsidRPr="00595F8B">
        <w:rPr>
          <w:rFonts w:asciiTheme="minorHAnsi" w:hAnsiTheme="minorHAnsi" w:cs="Arial"/>
        </w:rPr>
        <w:t xml:space="preserve"> </w:t>
      </w:r>
      <w:r w:rsidR="00F37109">
        <w:rPr>
          <w:rFonts w:asciiTheme="minorHAnsi" w:hAnsiTheme="minorHAnsi" w:cs="Arial"/>
        </w:rPr>
        <w:t>Priority organisms</w:t>
      </w:r>
      <w:r w:rsidR="00302198" w:rsidRPr="00703290">
        <w:rPr>
          <w:rFonts w:asciiTheme="minorHAnsi" w:hAnsiTheme="minorHAnsi" w:cs="Arial"/>
        </w:rPr>
        <w:t xml:space="preserve"> are </w:t>
      </w:r>
      <w:r w:rsidR="00F37109">
        <w:rPr>
          <w:rFonts w:asciiTheme="minorHAnsi" w:hAnsiTheme="minorHAnsi" w:cs="Arial"/>
        </w:rPr>
        <w:t xml:space="preserve">those </w:t>
      </w:r>
      <w:r w:rsidR="00302198" w:rsidRPr="00703290">
        <w:rPr>
          <w:rFonts w:asciiTheme="minorHAnsi" w:hAnsiTheme="minorHAnsi" w:cs="Arial"/>
        </w:rPr>
        <w:t>considered to have the greatest potential for harm</w:t>
      </w:r>
      <w:r w:rsidR="009360B9">
        <w:rPr>
          <w:rFonts w:asciiTheme="minorHAnsi" w:hAnsiTheme="minorHAnsi" w:cs="Arial"/>
        </w:rPr>
        <w:t>,</w:t>
      </w:r>
      <w:r w:rsidR="00302198" w:rsidRPr="00703290">
        <w:rPr>
          <w:rFonts w:asciiTheme="minorHAnsi" w:hAnsiTheme="minorHAnsi" w:cs="Arial"/>
        </w:rPr>
        <w:t xml:space="preserve"> are of high public health importance, or are common pathogens where the impact of resistance is substantial in hospital and community settings.</w:t>
      </w:r>
    </w:p>
    <w:p w:rsidR="00F37109" w:rsidRDefault="00F37109">
      <w:pPr>
        <w:rPr>
          <w:rFonts w:asciiTheme="minorHAnsi" w:hAnsiTheme="minorHAnsi" w:cs="Arial"/>
        </w:rPr>
      </w:pPr>
      <w:r>
        <w:rPr>
          <w:rFonts w:asciiTheme="minorHAnsi" w:hAnsiTheme="minorHAnsi" w:cs="Arial"/>
        </w:rPr>
        <w:br w:type="page"/>
      </w:r>
    </w:p>
    <w:p w:rsidR="00302198" w:rsidRPr="00302198" w:rsidRDefault="00302198" w:rsidP="004352DE">
      <w:pPr>
        <w:pStyle w:val="ListParagraph"/>
        <w:numPr>
          <w:ilvl w:val="0"/>
          <w:numId w:val="3"/>
        </w:numPr>
        <w:spacing w:before="120" w:after="120"/>
        <w:ind w:left="714" w:hanging="357"/>
        <w:contextualSpacing w:val="0"/>
        <w:rPr>
          <w:rFonts w:asciiTheme="minorHAnsi" w:eastAsia="Calibri" w:hAnsiTheme="minorHAnsi" w:cs="Arial"/>
        </w:rPr>
      </w:pPr>
      <w:r w:rsidRPr="00D31633">
        <w:rPr>
          <w:rFonts w:asciiTheme="minorHAnsi" w:hAnsiTheme="minorHAnsi" w:cs="Arial"/>
        </w:rPr>
        <w:lastRenderedPageBreak/>
        <w:t>To dat</w:t>
      </w:r>
      <w:r>
        <w:rPr>
          <w:rFonts w:asciiTheme="minorHAnsi" w:hAnsiTheme="minorHAnsi" w:cs="Arial"/>
        </w:rPr>
        <w:t>e, two</w:t>
      </w:r>
      <w:r w:rsidR="00DE696C">
        <w:rPr>
          <w:rFonts w:asciiTheme="minorHAnsi" w:hAnsiTheme="minorHAnsi" w:cs="Arial"/>
        </w:rPr>
        <w:t xml:space="preserve"> </w:t>
      </w:r>
      <w:r>
        <w:rPr>
          <w:rFonts w:asciiTheme="minorHAnsi" w:hAnsiTheme="minorHAnsi" w:cs="Arial"/>
        </w:rPr>
        <w:t xml:space="preserve">AURA </w:t>
      </w:r>
      <w:r w:rsidR="00F37109">
        <w:rPr>
          <w:rFonts w:asciiTheme="minorHAnsi" w:hAnsiTheme="minorHAnsi" w:cs="Arial"/>
        </w:rPr>
        <w:t>s</w:t>
      </w:r>
      <w:r>
        <w:rPr>
          <w:rFonts w:asciiTheme="minorHAnsi" w:hAnsiTheme="minorHAnsi" w:cs="Arial"/>
        </w:rPr>
        <w:t xml:space="preserve">urveillance </w:t>
      </w:r>
      <w:r w:rsidRPr="00D31633">
        <w:rPr>
          <w:rFonts w:asciiTheme="minorHAnsi" w:hAnsiTheme="minorHAnsi" w:cs="Arial"/>
        </w:rPr>
        <w:t>reports have been released</w:t>
      </w:r>
      <w:r>
        <w:rPr>
          <w:rFonts w:asciiTheme="minorHAnsi" w:hAnsiTheme="minorHAnsi" w:cs="Arial"/>
        </w:rPr>
        <w:t xml:space="preserve">, titled </w:t>
      </w:r>
      <w:r w:rsidRPr="0074610A">
        <w:rPr>
          <w:rFonts w:asciiTheme="minorHAnsi" w:hAnsiTheme="minorHAnsi" w:cs="Arial"/>
          <w:i/>
        </w:rPr>
        <w:t xml:space="preserve">AURA 2016 </w:t>
      </w:r>
      <w:r>
        <w:rPr>
          <w:rFonts w:asciiTheme="minorHAnsi" w:hAnsiTheme="minorHAnsi" w:cs="Arial"/>
        </w:rPr>
        <w:t xml:space="preserve">and </w:t>
      </w:r>
      <w:r>
        <w:rPr>
          <w:rFonts w:asciiTheme="minorHAnsi" w:hAnsiTheme="minorHAnsi" w:cs="Arial"/>
          <w:i/>
        </w:rPr>
        <w:t>AURA 2017</w:t>
      </w:r>
      <w:r w:rsidRPr="00D31633">
        <w:rPr>
          <w:rFonts w:asciiTheme="minorHAnsi" w:hAnsiTheme="minorHAnsi" w:cs="Arial"/>
        </w:rPr>
        <w:t>, as well as more</w:t>
      </w:r>
      <w:r w:rsidR="00DE696C">
        <w:rPr>
          <w:rFonts w:asciiTheme="minorHAnsi" w:hAnsiTheme="minorHAnsi" w:cs="Arial"/>
        </w:rPr>
        <w:t xml:space="preserve"> detailed</w:t>
      </w:r>
      <w:r w:rsidR="00DE696C" w:rsidRPr="00D31633">
        <w:rPr>
          <w:rFonts w:asciiTheme="minorHAnsi" w:hAnsiTheme="minorHAnsi" w:cs="Arial"/>
        </w:rPr>
        <w:t xml:space="preserve"> </w:t>
      </w:r>
      <w:r w:rsidRPr="00D31633">
        <w:rPr>
          <w:rFonts w:asciiTheme="minorHAnsi" w:hAnsiTheme="minorHAnsi" w:cs="Arial"/>
        </w:rPr>
        <w:t>reports for component programs</w:t>
      </w:r>
      <w:r w:rsidR="00DE696C">
        <w:rPr>
          <w:rFonts w:asciiTheme="minorHAnsi" w:hAnsiTheme="minorHAnsi" w:cs="Arial"/>
        </w:rPr>
        <w:t xml:space="preserve">, such </w:t>
      </w:r>
      <w:r w:rsidR="00DE696C" w:rsidRPr="000213BE">
        <w:rPr>
          <w:rFonts w:asciiTheme="minorHAnsi" w:hAnsiTheme="minorHAnsi" w:cs="Arial"/>
        </w:rPr>
        <w:t xml:space="preserve">as </w:t>
      </w:r>
      <w:r w:rsidR="000213BE" w:rsidRPr="000213BE">
        <w:rPr>
          <w:rFonts w:asciiTheme="minorHAnsi" w:hAnsiTheme="minorHAnsi" w:cs="Arial"/>
        </w:rPr>
        <w:t>the National Antimicrobial Usage Surveillance Program (</w:t>
      </w:r>
      <w:r w:rsidR="00DE696C" w:rsidRPr="000213BE">
        <w:rPr>
          <w:rFonts w:asciiTheme="minorHAnsi" w:hAnsiTheme="minorHAnsi" w:cs="Arial"/>
        </w:rPr>
        <w:t>NAUSP</w:t>
      </w:r>
      <w:r w:rsidR="000213BE" w:rsidRPr="000213BE">
        <w:rPr>
          <w:rFonts w:asciiTheme="minorHAnsi" w:hAnsiTheme="minorHAnsi" w:cs="Arial"/>
        </w:rPr>
        <w:t>)</w:t>
      </w:r>
      <w:r w:rsidR="00DE696C" w:rsidRPr="000213BE">
        <w:rPr>
          <w:rFonts w:asciiTheme="minorHAnsi" w:hAnsiTheme="minorHAnsi" w:cs="Arial"/>
        </w:rPr>
        <w:t xml:space="preserve">, </w:t>
      </w:r>
      <w:r w:rsidR="000213BE" w:rsidRPr="000213BE">
        <w:rPr>
          <w:rFonts w:asciiTheme="minorHAnsi" w:hAnsiTheme="minorHAnsi" w:cs="Arial"/>
        </w:rPr>
        <w:t>the National Antimicrobial Prescribing Survey (</w:t>
      </w:r>
      <w:r w:rsidR="00DE696C" w:rsidRPr="000213BE">
        <w:rPr>
          <w:rFonts w:asciiTheme="minorHAnsi" w:hAnsiTheme="minorHAnsi" w:cs="Arial"/>
        </w:rPr>
        <w:t>NAPS</w:t>
      </w:r>
      <w:r w:rsidR="000213BE" w:rsidRPr="000213BE">
        <w:rPr>
          <w:rFonts w:asciiTheme="minorHAnsi" w:hAnsiTheme="minorHAnsi" w:cs="Arial"/>
        </w:rPr>
        <w:t>)</w:t>
      </w:r>
      <w:r w:rsidR="00DE696C" w:rsidRPr="000213BE">
        <w:rPr>
          <w:rFonts w:asciiTheme="minorHAnsi" w:hAnsiTheme="minorHAnsi" w:cs="Arial"/>
        </w:rPr>
        <w:t xml:space="preserve">, </w:t>
      </w:r>
      <w:r w:rsidR="000213BE" w:rsidRPr="000213BE">
        <w:rPr>
          <w:rFonts w:asciiTheme="minorHAnsi" w:hAnsiTheme="minorHAnsi" w:cs="Arial"/>
        </w:rPr>
        <w:t xml:space="preserve">the Australian Group on Antimicrobial </w:t>
      </w:r>
      <w:r w:rsidR="000213BE">
        <w:rPr>
          <w:rFonts w:asciiTheme="minorHAnsi" w:hAnsiTheme="minorHAnsi" w:cs="Arial"/>
        </w:rPr>
        <w:t xml:space="preserve">Resistance </w:t>
      </w:r>
      <w:r w:rsidR="000213BE" w:rsidRPr="000213BE">
        <w:rPr>
          <w:rFonts w:asciiTheme="minorHAnsi" w:hAnsiTheme="minorHAnsi" w:cs="Arial"/>
        </w:rPr>
        <w:t>(</w:t>
      </w:r>
      <w:r w:rsidR="00DE696C" w:rsidRPr="000213BE">
        <w:rPr>
          <w:rFonts w:asciiTheme="minorHAnsi" w:hAnsiTheme="minorHAnsi" w:cs="Arial"/>
        </w:rPr>
        <w:t>AGAR</w:t>
      </w:r>
      <w:r w:rsidR="000213BE" w:rsidRPr="000213BE">
        <w:rPr>
          <w:rFonts w:asciiTheme="minorHAnsi" w:hAnsiTheme="minorHAnsi" w:cs="Arial"/>
        </w:rPr>
        <w:t>)</w:t>
      </w:r>
      <w:r w:rsidRPr="000213BE">
        <w:rPr>
          <w:rFonts w:asciiTheme="minorHAnsi" w:hAnsiTheme="minorHAnsi" w:cs="Arial"/>
        </w:rPr>
        <w:t xml:space="preserve"> and </w:t>
      </w:r>
      <w:r w:rsidR="000213BE" w:rsidRPr="000213BE">
        <w:rPr>
          <w:rFonts w:asciiTheme="minorHAnsi" w:hAnsiTheme="minorHAnsi" w:cs="Arial"/>
        </w:rPr>
        <w:t>the National Alert System for Critical Antimicrobial Resistances (</w:t>
      </w:r>
      <w:r w:rsidRPr="000213BE">
        <w:rPr>
          <w:rFonts w:asciiTheme="minorHAnsi" w:hAnsiTheme="minorHAnsi" w:cs="Arial"/>
        </w:rPr>
        <w:t>CARAlert</w:t>
      </w:r>
      <w:r w:rsidR="000213BE" w:rsidRPr="000213BE">
        <w:rPr>
          <w:rFonts w:asciiTheme="minorHAnsi" w:hAnsiTheme="minorHAnsi" w:cs="Arial"/>
        </w:rPr>
        <w:t>)</w:t>
      </w:r>
      <w:r w:rsidRPr="000213BE">
        <w:rPr>
          <w:rFonts w:asciiTheme="minorHAnsi" w:hAnsiTheme="minorHAnsi" w:cs="Arial"/>
        </w:rPr>
        <w:t>.</w:t>
      </w:r>
    </w:p>
    <w:p w:rsidR="005F3BA8" w:rsidRDefault="00336D51" w:rsidP="005F3BA8">
      <w:pPr>
        <w:spacing w:after="120"/>
        <w:ind w:left="360"/>
        <w:rPr>
          <w:rFonts w:asciiTheme="minorHAnsi" w:hAnsiTheme="minorHAnsi" w:cs="Arial"/>
          <w:sz w:val="12"/>
          <w:szCs w:val="12"/>
        </w:rPr>
      </w:pPr>
      <w:r w:rsidRPr="00E37D6C">
        <w:rPr>
          <w:rFonts w:asciiTheme="minorHAnsi" w:hAnsiTheme="minorHAnsi" w:cs="Arial"/>
          <w:noProof/>
          <w:lang w:eastAsia="en-AU"/>
        </w:rPr>
        <mc:AlternateContent>
          <mc:Choice Requires="wps">
            <w:drawing>
              <wp:inline distT="0" distB="0" distL="0" distR="0" wp14:anchorId="78CC883E" wp14:editId="5993AB9B">
                <wp:extent cx="5514975" cy="1962150"/>
                <wp:effectExtent l="0" t="0" r="28575"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962150"/>
                        </a:xfrm>
                        <a:prstGeom prst="rect">
                          <a:avLst/>
                        </a:prstGeom>
                        <a:solidFill>
                          <a:srgbClr val="FFFFFF"/>
                        </a:solidFill>
                        <a:ln w="9525">
                          <a:solidFill>
                            <a:srgbClr val="000000"/>
                          </a:solidFill>
                          <a:miter lim="800000"/>
                          <a:headEnd/>
                          <a:tailEnd/>
                        </a:ln>
                      </wps:spPr>
                      <wps:txbx>
                        <w:txbxContent>
                          <w:p w:rsidR="00422660" w:rsidRPr="00B63C2C" w:rsidRDefault="00422660">
                            <w:pPr>
                              <w:rPr>
                                <w:rFonts w:asciiTheme="minorHAnsi" w:hAnsiTheme="minorHAnsi" w:cs="Arial"/>
                                <w:i/>
                              </w:rPr>
                            </w:pPr>
                            <w:r>
                              <w:rPr>
                                <w:rFonts w:asciiTheme="minorHAnsi" w:hAnsiTheme="minorHAnsi" w:cs="Arial"/>
                                <w:i/>
                              </w:rPr>
                              <w:t>F</w:t>
                            </w:r>
                            <w:r w:rsidRPr="00E37D6C">
                              <w:rPr>
                                <w:rFonts w:asciiTheme="minorHAnsi" w:hAnsiTheme="minorHAnsi" w:cs="Arial"/>
                                <w:i/>
                              </w:rPr>
                              <w:t>our core surveillance programs provide the foundations of AURA</w:t>
                            </w:r>
                            <w:r>
                              <w:rPr>
                                <w:rFonts w:asciiTheme="minorHAnsi" w:hAnsiTheme="minorHAnsi" w:cs="Arial"/>
                                <w:i/>
                              </w:rPr>
                              <w:t>: AGAR;</w:t>
                            </w:r>
                            <w:r w:rsidRPr="00E37D6C">
                              <w:rPr>
                                <w:rFonts w:asciiTheme="minorHAnsi" w:hAnsiTheme="minorHAnsi" w:cs="Arial"/>
                                <w:i/>
                              </w:rPr>
                              <w:t xml:space="preserve"> </w:t>
                            </w:r>
                            <w:r>
                              <w:rPr>
                                <w:rFonts w:asciiTheme="minorHAnsi" w:hAnsiTheme="minorHAnsi" w:cs="Arial"/>
                                <w:i/>
                              </w:rPr>
                              <w:t>NAUSP;</w:t>
                            </w:r>
                            <w:r w:rsidRPr="00E37D6C">
                              <w:rPr>
                                <w:rFonts w:asciiTheme="minorHAnsi" w:hAnsiTheme="minorHAnsi" w:cs="Arial"/>
                                <w:i/>
                              </w:rPr>
                              <w:t xml:space="preserve"> </w:t>
                            </w:r>
                            <w:r>
                              <w:rPr>
                                <w:rFonts w:asciiTheme="minorHAnsi" w:hAnsiTheme="minorHAnsi" w:cs="Arial"/>
                                <w:i/>
                              </w:rPr>
                              <w:t>NAPS;</w:t>
                            </w:r>
                            <w:r w:rsidRPr="00E37D6C">
                              <w:rPr>
                                <w:rFonts w:asciiTheme="minorHAnsi" w:hAnsiTheme="minorHAnsi" w:cs="Arial"/>
                                <w:i/>
                              </w:rPr>
                              <w:t xml:space="preserve"> and </w:t>
                            </w:r>
                            <w:r>
                              <w:rPr>
                                <w:rFonts w:asciiTheme="minorHAnsi" w:hAnsiTheme="minorHAnsi" w:cs="Arial"/>
                                <w:i/>
                              </w:rPr>
                              <w:t xml:space="preserve">the </w:t>
                            </w:r>
                            <w:r w:rsidRPr="003159D0">
                              <w:rPr>
                                <w:rFonts w:asciiTheme="minorHAnsi" w:hAnsiTheme="minorHAnsi" w:cs="Arial"/>
                                <w:i/>
                              </w:rPr>
                              <w:t>Australian</w:t>
                            </w:r>
                            <w:r>
                              <w:rPr>
                                <w:rFonts w:asciiTheme="minorHAnsi" w:hAnsiTheme="minorHAnsi" w:cs="Arial"/>
                                <w:i/>
                              </w:rPr>
                              <w:t xml:space="preserve"> Passive AMR Surveillance </w:t>
                            </w:r>
                            <w:r w:rsidRPr="003159D0">
                              <w:rPr>
                                <w:rFonts w:asciiTheme="minorHAnsi" w:hAnsiTheme="minorHAnsi" w:cs="Arial"/>
                                <w:i/>
                              </w:rPr>
                              <w:t>system</w:t>
                            </w:r>
                            <w:r w:rsidRPr="00E37D6C">
                              <w:rPr>
                                <w:rFonts w:asciiTheme="minorHAnsi" w:hAnsiTheme="minorHAnsi" w:cs="Arial"/>
                                <w:i/>
                              </w:rPr>
                              <w:t xml:space="preserve"> </w:t>
                            </w:r>
                            <w:r>
                              <w:rPr>
                                <w:rFonts w:asciiTheme="minorHAnsi" w:hAnsiTheme="minorHAnsi" w:cs="Arial"/>
                                <w:i/>
                              </w:rPr>
                              <w:t>(using the</w:t>
                            </w:r>
                            <w:r w:rsidRPr="00E37D6C">
                              <w:rPr>
                                <w:rFonts w:asciiTheme="minorHAnsi" w:hAnsiTheme="minorHAnsi" w:cs="Arial"/>
                                <w:i/>
                              </w:rPr>
                              <w:t xml:space="preserve"> OrgTrx</w:t>
                            </w:r>
                            <w:r>
                              <w:rPr>
                                <w:rFonts w:asciiTheme="minorHAnsi" w:hAnsiTheme="minorHAnsi" w:cs="Arial"/>
                                <w:i/>
                              </w:rPr>
                              <w:t xml:space="preserve"> IT platform)</w:t>
                            </w:r>
                            <w:r w:rsidRPr="00E37D6C">
                              <w:rPr>
                                <w:rFonts w:asciiTheme="minorHAnsi" w:hAnsiTheme="minorHAnsi" w:cs="Arial"/>
                                <w:i/>
                              </w:rPr>
                              <w:t xml:space="preserve">. Funding provided through AURA has contributed to the enhancement and/or expansion of these programs. The </w:t>
                            </w:r>
                            <w:r>
                              <w:rPr>
                                <w:rFonts w:asciiTheme="minorHAnsi" w:hAnsiTheme="minorHAnsi" w:cs="Arial"/>
                                <w:i/>
                              </w:rPr>
                              <w:t>Commission</w:t>
                            </w:r>
                            <w:r w:rsidRPr="00E37D6C">
                              <w:rPr>
                                <w:rFonts w:asciiTheme="minorHAnsi" w:hAnsiTheme="minorHAnsi" w:cs="Arial"/>
                                <w:i/>
                              </w:rPr>
                              <w:t xml:space="preserve"> has also established</w:t>
                            </w:r>
                            <w:r>
                              <w:rPr>
                                <w:rFonts w:asciiTheme="minorHAnsi" w:hAnsiTheme="minorHAnsi" w:cs="Arial"/>
                                <w:i/>
                              </w:rPr>
                              <w:t xml:space="preserve"> </w:t>
                            </w:r>
                            <w:r w:rsidRPr="00E37D6C">
                              <w:rPr>
                                <w:rFonts w:asciiTheme="minorHAnsi" w:hAnsiTheme="minorHAnsi" w:cs="Arial"/>
                                <w:i/>
                              </w:rPr>
                              <w:t>CARAlert</w:t>
                            </w:r>
                            <w:r>
                              <w:rPr>
                                <w:rFonts w:asciiTheme="minorHAnsi" w:hAnsiTheme="minorHAnsi" w:cs="Arial"/>
                                <w:i/>
                              </w:rPr>
                              <w:t>, which</w:t>
                            </w:r>
                            <w:r w:rsidRPr="00E37D6C">
                              <w:rPr>
                                <w:rFonts w:asciiTheme="minorHAnsi" w:hAnsiTheme="minorHAnsi" w:cs="Arial"/>
                                <w:i/>
                              </w:rPr>
                              <w:t xml:space="preserve"> collects data on nationally agreed priority organisms that are resistant to last-line antimicrobial agents, known as critical antimicrobial resistances (CARs). The system </w:t>
                            </w:r>
                            <w:r>
                              <w:rPr>
                                <w:rFonts w:asciiTheme="minorHAnsi" w:hAnsiTheme="minorHAnsi" w:cs="Arial"/>
                                <w:i/>
                              </w:rPr>
                              <w:t>aims to provide</w:t>
                            </w:r>
                            <w:r w:rsidRPr="00E37D6C">
                              <w:rPr>
                                <w:rFonts w:asciiTheme="minorHAnsi" w:hAnsiTheme="minorHAnsi" w:cs="Arial"/>
                                <w:i/>
                              </w:rPr>
                              <w:t xml:space="preserve"> more timely advice to state and territory health authorities on the occurrence of CARs in their hospitals and communities, to provide a national picture of these CARs and to complement existing processes for confirming </w:t>
                            </w:r>
                            <w:r>
                              <w:rPr>
                                <w:rFonts w:asciiTheme="minorHAnsi" w:hAnsiTheme="minorHAnsi" w:cs="Arial"/>
                                <w:i/>
                              </w:rPr>
                              <w:t xml:space="preserve">and acting on </w:t>
                            </w:r>
                            <w:r w:rsidRPr="00E37D6C">
                              <w:rPr>
                                <w:rFonts w:asciiTheme="minorHAnsi" w:hAnsiTheme="minorHAnsi" w:cs="Arial"/>
                                <w:i/>
                              </w:rPr>
                              <w:t>CARs.</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34.2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9DaIwIAAEYEAAAOAAAAZHJzL2Uyb0RvYy54bWysU9uO2yAQfa/Uf0C8N46teHdjxVlts01V&#10;aXuRdvsBGOMYFRgKJHb69R1wNo227UtVHhDDDIczZ2ZWt6NW5CCcl2Bqms/mlAjDoZVmV9OvT9s3&#10;N5T4wEzLFBhR06Pw9Hb9+tVqsJUooAfVCkcQxPhqsDXtQ7BVlnneC838DKww6OzAaRbQdLusdWxA&#10;dK2yYj6/ygZwrXXAhfd4ez856Trhd53g4XPXeRGIqilyC2l3aW/inq1XrNo5ZnvJTzTYP7DQTBr8&#10;9Ax1zwIjeyd/g9KSO/DQhRkHnUHXSS5SDphNPn+RzWPPrEi5oDjenmXy/w+Wfzp8cUS2WDuUxzCN&#10;NXoSYyBvYSRFlGewvsKoR4txYcRrDE2pevsA/JsnBjY9Mztx5xwMvWAt0svjy+zi6YTjI0gzfIQW&#10;v2H7AAlo7JyO2qEaBNGRx/FcmkiF42VZ5ovldUkJR1++vCryMhUvY9Xzc+t8eC9Ak3ioqcPaJ3h2&#10;ePAh0mHVc0j8zYOS7VYqlQy3azbKkQPDPtmmlTJ4EaYMGWq6LItyUuCvEPO0/gShZcCGV1LX9OYc&#10;xKqo2zvTpnYMTKrpjJSVOQkZtZtUDGMzngrTQHtESR1MjY2DiIce3A9KBmzqmvrve+YEJeqDwbIs&#10;88UiTkEyFuV1gYa79DSXHmY4QtU0UDIdNyFNThTMwB2Wr5NJ2FjnicmJKzZr0vs0WHEaLu0U9Wv8&#10;1z8BAAD//wMAUEsDBBQABgAIAAAAIQDHVXin3QAAAAUBAAAPAAAAZHJzL2Rvd25yZXYueG1sTI/B&#10;TsMwEETvSPyDtUhcELWhNKRpnAohgeAGbUWvbrxNIux1sN00/D2GC72sNJrRzNtyOVrDBvShcyTh&#10;ZiKAIdVOd9RI2KyfrnNgISrSyjhCCd8YYFmdn5Wq0O5I7zisYsNSCYVCSWhj7AvOQ92iVWHieqTk&#10;7Z23KibpG669OqZya/itEBm3qqO00KoeH1usP1cHKyG/exm24XX69lFnezOPV/fD85eX8vJifFgA&#10;izjG/zD84id0qBLTzh1IB2YkpEfi301enuUzYDsJUzEXwKuSn9JXPwAAAP//AwBQSwECLQAUAAYA&#10;CAAAACEAtoM4kv4AAADhAQAAEwAAAAAAAAAAAAAAAAAAAAAAW0NvbnRlbnRfVHlwZXNdLnhtbFBL&#10;AQItABQABgAIAAAAIQA4/SH/1gAAAJQBAAALAAAAAAAAAAAAAAAAAC8BAABfcmVscy8ucmVsc1BL&#10;AQItABQABgAIAAAAIQB8t9DaIwIAAEYEAAAOAAAAAAAAAAAAAAAAAC4CAABkcnMvZTJvRG9jLnht&#10;bFBLAQItABQABgAIAAAAIQDHVXin3QAAAAUBAAAPAAAAAAAAAAAAAAAAAH0EAABkcnMvZG93bnJl&#10;di54bWxQSwUGAAAAAAQABADzAAAAhwUAAAAA&#10;">
                <v:textbox>
                  <w:txbxContent>
                    <w:p w:rsidR="00422660" w:rsidRPr="00B63C2C" w:rsidRDefault="00422660">
                      <w:pPr>
                        <w:rPr>
                          <w:rFonts w:asciiTheme="minorHAnsi" w:hAnsiTheme="minorHAnsi" w:cs="Arial"/>
                          <w:i/>
                        </w:rPr>
                      </w:pPr>
                      <w:r>
                        <w:rPr>
                          <w:rFonts w:asciiTheme="minorHAnsi" w:hAnsiTheme="minorHAnsi" w:cs="Arial"/>
                          <w:i/>
                        </w:rPr>
                        <w:t>F</w:t>
                      </w:r>
                      <w:r w:rsidRPr="00E37D6C">
                        <w:rPr>
                          <w:rFonts w:asciiTheme="minorHAnsi" w:hAnsiTheme="minorHAnsi" w:cs="Arial"/>
                          <w:i/>
                        </w:rPr>
                        <w:t>our core surveillance programs provide the foundations of AURA</w:t>
                      </w:r>
                      <w:r>
                        <w:rPr>
                          <w:rFonts w:asciiTheme="minorHAnsi" w:hAnsiTheme="minorHAnsi" w:cs="Arial"/>
                          <w:i/>
                        </w:rPr>
                        <w:t>: AGAR;</w:t>
                      </w:r>
                      <w:r w:rsidRPr="00E37D6C">
                        <w:rPr>
                          <w:rFonts w:asciiTheme="minorHAnsi" w:hAnsiTheme="minorHAnsi" w:cs="Arial"/>
                          <w:i/>
                        </w:rPr>
                        <w:t xml:space="preserve"> </w:t>
                      </w:r>
                      <w:r>
                        <w:rPr>
                          <w:rFonts w:asciiTheme="minorHAnsi" w:hAnsiTheme="minorHAnsi" w:cs="Arial"/>
                          <w:i/>
                        </w:rPr>
                        <w:t>NAUSP;</w:t>
                      </w:r>
                      <w:r w:rsidRPr="00E37D6C">
                        <w:rPr>
                          <w:rFonts w:asciiTheme="minorHAnsi" w:hAnsiTheme="minorHAnsi" w:cs="Arial"/>
                          <w:i/>
                        </w:rPr>
                        <w:t xml:space="preserve"> </w:t>
                      </w:r>
                      <w:r>
                        <w:rPr>
                          <w:rFonts w:asciiTheme="minorHAnsi" w:hAnsiTheme="minorHAnsi" w:cs="Arial"/>
                          <w:i/>
                        </w:rPr>
                        <w:t>NAPS;</w:t>
                      </w:r>
                      <w:r w:rsidRPr="00E37D6C">
                        <w:rPr>
                          <w:rFonts w:asciiTheme="minorHAnsi" w:hAnsiTheme="minorHAnsi" w:cs="Arial"/>
                          <w:i/>
                        </w:rPr>
                        <w:t xml:space="preserve"> and </w:t>
                      </w:r>
                      <w:r>
                        <w:rPr>
                          <w:rFonts w:asciiTheme="minorHAnsi" w:hAnsiTheme="minorHAnsi" w:cs="Arial"/>
                          <w:i/>
                        </w:rPr>
                        <w:t xml:space="preserve">the </w:t>
                      </w:r>
                      <w:r w:rsidRPr="003159D0">
                        <w:rPr>
                          <w:rFonts w:asciiTheme="minorHAnsi" w:hAnsiTheme="minorHAnsi" w:cs="Arial"/>
                          <w:i/>
                        </w:rPr>
                        <w:t>Australian</w:t>
                      </w:r>
                      <w:r>
                        <w:rPr>
                          <w:rFonts w:asciiTheme="minorHAnsi" w:hAnsiTheme="minorHAnsi" w:cs="Arial"/>
                          <w:i/>
                        </w:rPr>
                        <w:t xml:space="preserve"> Passive AMR Surveillance </w:t>
                      </w:r>
                      <w:r w:rsidRPr="003159D0">
                        <w:rPr>
                          <w:rFonts w:asciiTheme="minorHAnsi" w:hAnsiTheme="minorHAnsi" w:cs="Arial"/>
                          <w:i/>
                        </w:rPr>
                        <w:t>system</w:t>
                      </w:r>
                      <w:r w:rsidRPr="00E37D6C">
                        <w:rPr>
                          <w:rFonts w:asciiTheme="minorHAnsi" w:hAnsiTheme="minorHAnsi" w:cs="Arial"/>
                          <w:i/>
                        </w:rPr>
                        <w:t xml:space="preserve"> </w:t>
                      </w:r>
                      <w:r>
                        <w:rPr>
                          <w:rFonts w:asciiTheme="minorHAnsi" w:hAnsiTheme="minorHAnsi" w:cs="Arial"/>
                          <w:i/>
                        </w:rPr>
                        <w:t>(using the</w:t>
                      </w:r>
                      <w:r w:rsidRPr="00E37D6C">
                        <w:rPr>
                          <w:rFonts w:asciiTheme="minorHAnsi" w:hAnsiTheme="minorHAnsi" w:cs="Arial"/>
                          <w:i/>
                        </w:rPr>
                        <w:t xml:space="preserve"> OrgTrx</w:t>
                      </w:r>
                      <w:r>
                        <w:rPr>
                          <w:rFonts w:asciiTheme="minorHAnsi" w:hAnsiTheme="minorHAnsi" w:cs="Arial"/>
                          <w:i/>
                        </w:rPr>
                        <w:t xml:space="preserve"> IT platform)</w:t>
                      </w:r>
                      <w:r w:rsidRPr="00E37D6C">
                        <w:rPr>
                          <w:rFonts w:asciiTheme="minorHAnsi" w:hAnsiTheme="minorHAnsi" w:cs="Arial"/>
                          <w:i/>
                        </w:rPr>
                        <w:t xml:space="preserve">. Funding provided through AURA has contributed to the enhancement and/or expansion of these programs. The </w:t>
                      </w:r>
                      <w:r>
                        <w:rPr>
                          <w:rFonts w:asciiTheme="minorHAnsi" w:hAnsiTheme="minorHAnsi" w:cs="Arial"/>
                          <w:i/>
                        </w:rPr>
                        <w:t>Commission</w:t>
                      </w:r>
                      <w:r w:rsidRPr="00E37D6C">
                        <w:rPr>
                          <w:rFonts w:asciiTheme="minorHAnsi" w:hAnsiTheme="minorHAnsi" w:cs="Arial"/>
                          <w:i/>
                        </w:rPr>
                        <w:t xml:space="preserve"> has also established</w:t>
                      </w:r>
                      <w:r>
                        <w:rPr>
                          <w:rFonts w:asciiTheme="minorHAnsi" w:hAnsiTheme="minorHAnsi" w:cs="Arial"/>
                          <w:i/>
                        </w:rPr>
                        <w:t xml:space="preserve"> </w:t>
                      </w:r>
                      <w:r w:rsidRPr="00E37D6C">
                        <w:rPr>
                          <w:rFonts w:asciiTheme="minorHAnsi" w:hAnsiTheme="minorHAnsi" w:cs="Arial"/>
                          <w:i/>
                        </w:rPr>
                        <w:t>CARAlert</w:t>
                      </w:r>
                      <w:r>
                        <w:rPr>
                          <w:rFonts w:asciiTheme="minorHAnsi" w:hAnsiTheme="minorHAnsi" w:cs="Arial"/>
                          <w:i/>
                        </w:rPr>
                        <w:t>, which</w:t>
                      </w:r>
                      <w:r w:rsidRPr="00E37D6C">
                        <w:rPr>
                          <w:rFonts w:asciiTheme="minorHAnsi" w:hAnsiTheme="minorHAnsi" w:cs="Arial"/>
                          <w:i/>
                        </w:rPr>
                        <w:t xml:space="preserve"> collects data on nationally agreed priority organisms that are resistant to last-line antimicrobial agents, known as critical antimicrobial resistances (CARs). The system </w:t>
                      </w:r>
                      <w:r>
                        <w:rPr>
                          <w:rFonts w:asciiTheme="minorHAnsi" w:hAnsiTheme="minorHAnsi" w:cs="Arial"/>
                          <w:i/>
                        </w:rPr>
                        <w:t>aims to provide</w:t>
                      </w:r>
                      <w:r w:rsidRPr="00E37D6C">
                        <w:rPr>
                          <w:rFonts w:asciiTheme="minorHAnsi" w:hAnsiTheme="minorHAnsi" w:cs="Arial"/>
                          <w:i/>
                        </w:rPr>
                        <w:t xml:space="preserve"> more timely advice to state and territory health authorities on the occurrence of CARs in their hospitals and communities, to provide a national picture of these CARs and to complement existing processes for confirming </w:t>
                      </w:r>
                      <w:r>
                        <w:rPr>
                          <w:rFonts w:asciiTheme="minorHAnsi" w:hAnsiTheme="minorHAnsi" w:cs="Arial"/>
                          <w:i/>
                        </w:rPr>
                        <w:t xml:space="preserve">and acting on </w:t>
                      </w:r>
                      <w:r w:rsidRPr="00E37D6C">
                        <w:rPr>
                          <w:rFonts w:asciiTheme="minorHAnsi" w:hAnsiTheme="minorHAnsi" w:cs="Arial"/>
                          <w:i/>
                        </w:rPr>
                        <w:t>CARs.</w:t>
                      </w:r>
                    </w:p>
                  </w:txbxContent>
                </v:textbox>
                <w10:anchorlock/>
              </v:shape>
            </w:pict>
          </mc:Fallback>
        </mc:AlternateContent>
      </w:r>
    </w:p>
    <w:p w:rsidR="005F3BA8" w:rsidRPr="005F3BA8" w:rsidRDefault="00756342" w:rsidP="005F3BA8">
      <w:pPr>
        <w:pStyle w:val="ListParagraph"/>
        <w:numPr>
          <w:ilvl w:val="0"/>
          <w:numId w:val="13"/>
        </w:numPr>
        <w:spacing w:after="120"/>
        <w:contextualSpacing w:val="0"/>
        <w:rPr>
          <w:rFonts w:asciiTheme="minorHAnsi" w:eastAsia="Calibri" w:hAnsiTheme="minorHAnsi" w:cs="Arial"/>
        </w:rPr>
      </w:pPr>
      <w:r w:rsidRPr="005F3BA8">
        <w:rPr>
          <w:rFonts w:asciiTheme="minorHAnsi" w:eastAsia="Calibri" w:hAnsiTheme="minorHAnsi" w:cs="Arial"/>
        </w:rPr>
        <w:t xml:space="preserve">The National Centre for Antimicrobial Stewardship coordinates the </w:t>
      </w:r>
      <w:r w:rsidR="00EB5A66">
        <w:rPr>
          <w:rFonts w:asciiTheme="minorHAnsi" w:eastAsia="Calibri" w:hAnsiTheme="minorHAnsi" w:cs="Arial"/>
        </w:rPr>
        <w:t>h</w:t>
      </w:r>
      <w:r w:rsidRPr="005F3BA8">
        <w:rPr>
          <w:rFonts w:asciiTheme="minorHAnsi" w:eastAsia="Calibri" w:hAnsiTheme="minorHAnsi" w:cs="Arial"/>
        </w:rPr>
        <w:t>ospital NAPS, aged care NAPS, and surgical NAPS</w:t>
      </w:r>
      <w:r w:rsidR="00EB5A66">
        <w:rPr>
          <w:rFonts w:asciiTheme="minorHAnsi" w:eastAsia="Calibri" w:hAnsiTheme="minorHAnsi" w:cs="Arial"/>
        </w:rPr>
        <w:t xml:space="preserve"> surveys</w:t>
      </w:r>
      <w:r w:rsidRPr="005F3BA8">
        <w:rPr>
          <w:rFonts w:asciiTheme="minorHAnsi" w:eastAsia="Calibri" w:hAnsiTheme="minorHAnsi" w:cs="Arial"/>
        </w:rPr>
        <w:t>. These surveys enable facilities to audit local anti</w:t>
      </w:r>
      <w:r w:rsidR="00EB5A66">
        <w:rPr>
          <w:rFonts w:asciiTheme="minorHAnsi" w:eastAsia="Calibri" w:hAnsiTheme="minorHAnsi" w:cs="Arial"/>
        </w:rPr>
        <w:t>biotic</w:t>
      </w:r>
      <w:r w:rsidRPr="005F3BA8">
        <w:rPr>
          <w:rFonts w:asciiTheme="minorHAnsi" w:eastAsia="Calibri" w:hAnsiTheme="minorHAnsi" w:cs="Arial"/>
        </w:rPr>
        <w:t xml:space="preserve"> prescribing patterns to identify inappropriate prescribing (e.g. spectrum too broad, incorrect duration, non-compliant with prescribing guidelines) and identify where improvements can be made. A pilot is also underway for implementing NAPS in general practice</w:t>
      </w:r>
      <w:r w:rsidR="00EB5A66">
        <w:rPr>
          <w:rFonts w:asciiTheme="minorHAnsi" w:eastAsia="Calibri" w:hAnsiTheme="minorHAnsi" w:cs="Arial"/>
        </w:rPr>
        <w:t xml:space="preserve"> (gpNAPS)</w:t>
      </w:r>
      <w:r w:rsidRPr="005F3BA8">
        <w:rPr>
          <w:rFonts w:asciiTheme="minorHAnsi" w:eastAsia="Calibri" w:hAnsiTheme="minorHAnsi" w:cs="Arial"/>
        </w:rPr>
        <w:t>.</w:t>
      </w:r>
    </w:p>
    <w:p w:rsidR="00C73070" w:rsidRDefault="0074610A" w:rsidP="005F3BA8">
      <w:pPr>
        <w:pStyle w:val="ListParagraph"/>
        <w:numPr>
          <w:ilvl w:val="0"/>
          <w:numId w:val="13"/>
        </w:numPr>
        <w:spacing w:after="120"/>
        <w:contextualSpacing w:val="0"/>
        <w:rPr>
          <w:rFonts w:asciiTheme="minorHAnsi" w:eastAsia="Calibri" w:hAnsiTheme="minorHAnsi" w:cs="Arial"/>
        </w:rPr>
      </w:pPr>
      <w:r w:rsidRPr="005F3BA8">
        <w:rPr>
          <w:rFonts w:asciiTheme="minorHAnsi" w:eastAsia="Calibri" w:hAnsiTheme="minorHAnsi" w:cs="Arial"/>
        </w:rPr>
        <w:t>To guide the</w:t>
      </w:r>
      <w:r w:rsidR="00C73070" w:rsidRPr="005F3BA8">
        <w:rPr>
          <w:rFonts w:asciiTheme="minorHAnsi" w:eastAsia="Calibri" w:hAnsiTheme="minorHAnsi" w:cs="Arial"/>
        </w:rPr>
        <w:t xml:space="preserve"> development of the surveillance system, several key projects have been completed over the last two years, including the development of a surveillance plan for human health in 2015; the establishment of a C</w:t>
      </w:r>
      <w:r w:rsidR="00361758" w:rsidRPr="005F3BA8">
        <w:rPr>
          <w:rFonts w:asciiTheme="minorHAnsi" w:eastAsia="Calibri" w:hAnsiTheme="minorHAnsi" w:cs="Arial"/>
        </w:rPr>
        <w:t>ommunicable Diseases Network Australia (CDNA)</w:t>
      </w:r>
      <w:r w:rsidR="00C73070" w:rsidRPr="005F3BA8">
        <w:rPr>
          <w:rFonts w:asciiTheme="minorHAnsi" w:eastAsia="Calibri" w:hAnsiTheme="minorHAnsi" w:cs="Arial"/>
        </w:rPr>
        <w:t xml:space="preserve"> working group in 2016 to </w:t>
      </w:r>
      <w:r w:rsidR="00361758" w:rsidRPr="005F3BA8">
        <w:rPr>
          <w:rFonts w:asciiTheme="minorHAnsi" w:eastAsia="Calibri" w:hAnsiTheme="minorHAnsi" w:cs="Arial"/>
        </w:rPr>
        <w:t>make recommendation on the public health response to multi-drug resistant organisms; and</w:t>
      </w:r>
      <w:r w:rsidR="00C73070" w:rsidRPr="005F3BA8">
        <w:rPr>
          <w:rFonts w:asciiTheme="minorHAnsi" w:eastAsia="Calibri" w:hAnsiTheme="minorHAnsi" w:cs="Arial"/>
        </w:rPr>
        <w:t xml:space="preserve"> an independent review of the human health surveillance system in 2017.</w:t>
      </w:r>
    </w:p>
    <w:p w:rsidR="00375CE8" w:rsidRPr="00AE0291" w:rsidRDefault="00375CE8" w:rsidP="00445D1A">
      <w:pPr>
        <w:pStyle w:val="Heading4"/>
      </w:pPr>
      <w:r w:rsidRPr="00AE0291">
        <w:t>Animal Health and Agriculture</w:t>
      </w:r>
    </w:p>
    <w:p w:rsidR="0063019B" w:rsidRDefault="0063019B" w:rsidP="00D667C4">
      <w:pPr>
        <w:pStyle w:val="ListParagraph"/>
        <w:numPr>
          <w:ilvl w:val="0"/>
          <w:numId w:val="13"/>
        </w:numPr>
        <w:spacing w:after="120"/>
        <w:ind w:left="714" w:hanging="357"/>
        <w:contextualSpacing w:val="0"/>
        <w:rPr>
          <w:rFonts w:asciiTheme="minorHAnsi" w:hAnsiTheme="minorHAnsi" w:cs="Arial"/>
        </w:rPr>
      </w:pPr>
      <w:r w:rsidRPr="0063019B">
        <w:rPr>
          <w:rFonts w:asciiTheme="minorHAnsi" w:hAnsiTheme="minorHAnsi" w:cs="Arial"/>
        </w:rPr>
        <w:t xml:space="preserve">The Australian Government Department of Agriculture and Water Resources has completed a review of the </w:t>
      </w:r>
      <w:hyperlink r:id="rId20" w:history="1">
        <w:r w:rsidRPr="00C45E29">
          <w:rPr>
            <w:rStyle w:val="Hyperlink"/>
            <w:rFonts w:asciiTheme="minorHAnsi" w:hAnsiTheme="minorHAnsi" w:cs="Arial"/>
          </w:rPr>
          <w:t>antimicrobial screen applied to imported finfish</w:t>
        </w:r>
      </w:hyperlink>
      <w:r w:rsidR="00EE2D25">
        <w:rPr>
          <w:rFonts w:asciiTheme="minorHAnsi" w:hAnsiTheme="minorHAnsi" w:cs="Arial"/>
        </w:rPr>
        <w:t xml:space="preserve">. The screen will now </w:t>
      </w:r>
      <w:r w:rsidR="00EE2D25" w:rsidRPr="0063019B">
        <w:rPr>
          <w:rFonts w:asciiTheme="minorHAnsi" w:hAnsiTheme="minorHAnsi" w:cs="Arial"/>
        </w:rPr>
        <w:t>include two quinolones</w:t>
      </w:r>
      <w:r w:rsidR="00EE2D25" w:rsidRPr="00EE2D25">
        <w:rPr>
          <w:rFonts w:asciiTheme="minorHAnsi" w:hAnsiTheme="minorHAnsi" w:cs="Arial"/>
        </w:rPr>
        <w:t xml:space="preserve"> </w:t>
      </w:r>
      <w:r w:rsidR="00EE2D25" w:rsidRPr="0063019B">
        <w:rPr>
          <w:rFonts w:asciiTheme="minorHAnsi" w:hAnsiTheme="minorHAnsi" w:cs="Arial"/>
        </w:rPr>
        <w:t>in addition to the current screen for malachite green and fluoroquinolones</w:t>
      </w:r>
      <w:r w:rsidR="00EE2D25">
        <w:rPr>
          <w:rFonts w:asciiTheme="minorHAnsi" w:hAnsiTheme="minorHAnsi" w:cs="Arial"/>
        </w:rPr>
        <w:t>.</w:t>
      </w:r>
      <w:r w:rsidRPr="0063019B">
        <w:rPr>
          <w:rFonts w:asciiTheme="minorHAnsi" w:hAnsiTheme="minorHAnsi" w:cs="Arial"/>
        </w:rPr>
        <w:t xml:space="preserve"> </w:t>
      </w:r>
      <w:r w:rsidR="00EE2D25">
        <w:rPr>
          <w:rFonts w:asciiTheme="minorHAnsi" w:hAnsiTheme="minorHAnsi" w:cs="Arial"/>
        </w:rPr>
        <w:t xml:space="preserve">This </w:t>
      </w:r>
      <w:r w:rsidRPr="0063019B">
        <w:rPr>
          <w:rFonts w:asciiTheme="minorHAnsi" w:hAnsiTheme="minorHAnsi" w:cs="Arial"/>
        </w:rPr>
        <w:t>will take effect during August 2017</w:t>
      </w:r>
      <w:r w:rsidR="00EB5A66">
        <w:rPr>
          <w:rFonts w:asciiTheme="minorHAnsi" w:hAnsiTheme="minorHAnsi" w:cs="Arial"/>
        </w:rPr>
        <w:t>.</w:t>
      </w:r>
    </w:p>
    <w:p w:rsidR="002A03E9" w:rsidRPr="0063019B" w:rsidRDefault="002A03E9" w:rsidP="00D667C4">
      <w:pPr>
        <w:pStyle w:val="ListParagraph"/>
        <w:numPr>
          <w:ilvl w:val="0"/>
          <w:numId w:val="13"/>
        </w:numPr>
        <w:spacing w:after="120"/>
        <w:contextualSpacing w:val="0"/>
        <w:rPr>
          <w:rFonts w:asciiTheme="minorHAnsi" w:hAnsiTheme="minorHAnsi" w:cs="Arial"/>
        </w:rPr>
      </w:pPr>
      <w:r w:rsidRPr="0063019B">
        <w:rPr>
          <w:rFonts w:asciiTheme="minorHAnsi" w:hAnsiTheme="minorHAnsi" w:cs="Arial"/>
          <w:lang w:bidi="en-US"/>
        </w:rPr>
        <w:t xml:space="preserve">Meat &amp; Livestock Australia </w:t>
      </w:r>
      <w:r w:rsidR="00073986">
        <w:rPr>
          <w:rFonts w:asciiTheme="minorHAnsi" w:hAnsiTheme="minorHAnsi" w:cs="Arial"/>
          <w:lang w:bidi="en-US"/>
        </w:rPr>
        <w:t>is</w:t>
      </w:r>
      <w:r w:rsidR="00073986" w:rsidRPr="0063019B">
        <w:rPr>
          <w:rFonts w:asciiTheme="minorHAnsi" w:hAnsiTheme="minorHAnsi" w:cs="Arial"/>
          <w:lang w:bidi="en-US"/>
        </w:rPr>
        <w:t xml:space="preserve"> </w:t>
      </w:r>
      <w:r w:rsidRPr="0063019B">
        <w:rPr>
          <w:rFonts w:asciiTheme="minorHAnsi" w:eastAsia="Calibri" w:hAnsiTheme="minorHAnsi" w:cs="Arial"/>
        </w:rPr>
        <w:t xml:space="preserve">measuring and assessing antibiotic use in the meat and livestock industry through on-going monitoring and analysis of antibiotic treatment data from a representative sample of feedlots to improve judicious use. </w:t>
      </w:r>
      <w:r w:rsidRPr="0063019B">
        <w:rPr>
          <w:rFonts w:asciiTheme="minorHAnsi" w:hAnsiTheme="minorHAnsi" w:cs="Arial"/>
        </w:rPr>
        <w:t>This project will continue until 2020.</w:t>
      </w:r>
    </w:p>
    <w:p w:rsidR="00073986" w:rsidRPr="00073986" w:rsidRDefault="002A03E9" w:rsidP="00073986">
      <w:pPr>
        <w:pStyle w:val="ListParagraph"/>
        <w:numPr>
          <w:ilvl w:val="0"/>
          <w:numId w:val="13"/>
        </w:numPr>
        <w:spacing w:after="120"/>
        <w:contextualSpacing w:val="0"/>
        <w:rPr>
          <w:rFonts w:asciiTheme="minorHAnsi" w:hAnsiTheme="minorHAnsi" w:cs="Arial"/>
          <w:lang w:val="en"/>
        </w:rPr>
      </w:pPr>
      <w:r w:rsidRPr="00073986">
        <w:rPr>
          <w:rFonts w:asciiTheme="minorHAnsi" w:hAnsiTheme="minorHAnsi" w:cs="Arial"/>
          <w:lang w:eastAsia="en-AU"/>
        </w:rPr>
        <w:t xml:space="preserve">The Australian Pesticides and Veterinary Medicines Authority </w:t>
      </w:r>
      <w:r w:rsidRPr="00073986">
        <w:rPr>
          <w:rFonts w:asciiTheme="minorHAnsi" w:hAnsiTheme="minorHAnsi" w:cs="Arial"/>
          <w:lang w:val="en"/>
        </w:rPr>
        <w:t>is working with industry to improve the usage data collection process</w:t>
      </w:r>
      <w:r w:rsidR="00073986" w:rsidRPr="00073986">
        <w:rPr>
          <w:rFonts w:asciiTheme="minorHAnsi" w:hAnsiTheme="minorHAnsi" w:cs="Arial"/>
          <w:lang w:val="en"/>
        </w:rPr>
        <w:t>,</w:t>
      </w:r>
      <w:r w:rsidR="008615B4" w:rsidRPr="00073986">
        <w:rPr>
          <w:rFonts w:asciiTheme="minorHAnsi" w:hAnsiTheme="minorHAnsi" w:cs="Arial"/>
          <w:lang w:val="en"/>
        </w:rPr>
        <w:t xml:space="preserve"> </w:t>
      </w:r>
      <w:r w:rsidRPr="00073986">
        <w:rPr>
          <w:rFonts w:asciiTheme="minorHAnsi" w:hAnsiTheme="minorHAnsi" w:cs="Arial"/>
          <w:lang w:val="en"/>
        </w:rPr>
        <w:t>such as enhancing the electronic portal for data submission. The data collection for the 2015-16 financial year has been completed.</w:t>
      </w:r>
      <w:r w:rsidR="00073986" w:rsidRPr="00073986">
        <w:rPr>
          <w:rFonts w:asciiTheme="minorHAnsi" w:hAnsiTheme="minorHAnsi" w:cs="Arial"/>
          <w:lang w:val="en"/>
        </w:rPr>
        <w:br w:type="page"/>
      </w:r>
    </w:p>
    <w:p w:rsidR="00163D24" w:rsidRPr="0026338A" w:rsidRDefault="00163D24" w:rsidP="00D667C4">
      <w:pPr>
        <w:pStyle w:val="ListParagraph"/>
        <w:numPr>
          <w:ilvl w:val="0"/>
          <w:numId w:val="13"/>
        </w:numPr>
        <w:spacing w:after="120"/>
        <w:contextualSpacing w:val="0"/>
        <w:rPr>
          <w:rFonts w:asciiTheme="minorHAnsi" w:hAnsiTheme="minorHAnsi" w:cs="Arial"/>
        </w:rPr>
      </w:pPr>
      <w:r>
        <w:rPr>
          <w:rFonts w:asciiTheme="minorHAnsi" w:hAnsiTheme="minorHAnsi" w:cs="Arial"/>
          <w:lang w:val="en"/>
        </w:rPr>
        <w:lastRenderedPageBreak/>
        <w:t xml:space="preserve">The Australian Government Department of Agriculture and Water Resources has funded a number of </w:t>
      </w:r>
      <w:r w:rsidR="008615B4">
        <w:rPr>
          <w:rFonts w:asciiTheme="minorHAnsi" w:hAnsiTheme="minorHAnsi" w:cs="Arial"/>
          <w:lang w:val="en"/>
        </w:rPr>
        <w:t>proof-of-concept</w:t>
      </w:r>
      <w:r>
        <w:rPr>
          <w:rFonts w:asciiTheme="minorHAnsi" w:hAnsiTheme="minorHAnsi" w:cs="Arial"/>
          <w:lang w:val="en"/>
        </w:rPr>
        <w:t xml:space="preserve"> AMR surveillance projects in pigs, chicken meat, chicken eggs and salmon industries. These projects are being </w:t>
      </w:r>
      <w:r w:rsidR="00073986">
        <w:rPr>
          <w:rFonts w:asciiTheme="minorHAnsi" w:hAnsiTheme="minorHAnsi" w:cs="Arial"/>
          <w:lang w:val="en"/>
        </w:rPr>
        <w:t xml:space="preserve">undertaken </w:t>
      </w:r>
      <w:r>
        <w:rPr>
          <w:rFonts w:asciiTheme="minorHAnsi" w:hAnsiTheme="minorHAnsi" w:cs="Arial"/>
          <w:lang w:val="en"/>
        </w:rPr>
        <w:t>in</w:t>
      </w:r>
      <w:r w:rsidR="005F3BA8">
        <w:rPr>
          <w:rFonts w:asciiTheme="minorHAnsi" w:hAnsiTheme="minorHAnsi" w:cs="Arial"/>
          <w:lang w:val="en"/>
        </w:rPr>
        <w:t xml:space="preserve"> </w:t>
      </w:r>
      <w:r>
        <w:rPr>
          <w:rFonts w:asciiTheme="minorHAnsi" w:hAnsiTheme="minorHAnsi" w:cs="Arial"/>
          <w:lang w:val="en"/>
        </w:rPr>
        <w:t xml:space="preserve">conjunction with Australian Pork Limited, Australian Chicken Meat Federation, </w:t>
      </w:r>
      <w:r w:rsidR="00D64E16">
        <w:rPr>
          <w:rFonts w:asciiTheme="minorHAnsi" w:hAnsiTheme="minorHAnsi" w:cs="Arial"/>
          <w:lang w:val="en"/>
        </w:rPr>
        <w:t xml:space="preserve">The University of Adelaide with </w:t>
      </w:r>
      <w:r>
        <w:rPr>
          <w:rFonts w:asciiTheme="minorHAnsi" w:hAnsiTheme="minorHAnsi" w:cs="Arial"/>
          <w:lang w:val="en"/>
        </w:rPr>
        <w:t>Australian Eggs Limited</w:t>
      </w:r>
      <w:r w:rsidR="00D64E16">
        <w:rPr>
          <w:rFonts w:asciiTheme="minorHAnsi" w:hAnsiTheme="minorHAnsi" w:cs="Arial"/>
          <w:lang w:val="en"/>
        </w:rPr>
        <w:t>,</w:t>
      </w:r>
      <w:r>
        <w:rPr>
          <w:rFonts w:asciiTheme="minorHAnsi" w:hAnsiTheme="minorHAnsi" w:cs="Arial"/>
          <w:lang w:val="en"/>
        </w:rPr>
        <w:t xml:space="preserve"> and the Tasmanian Salmonid </w:t>
      </w:r>
      <w:r w:rsidRPr="0026338A">
        <w:rPr>
          <w:rFonts w:asciiTheme="minorHAnsi" w:hAnsiTheme="minorHAnsi" w:cs="Arial"/>
        </w:rPr>
        <w:t xml:space="preserve">Growers Association. Results of these projects will </w:t>
      </w:r>
      <w:r w:rsidR="008615B4" w:rsidRPr="0026338A">
        <w:rPr>
          <w:rFonts w:asciiTheme="minorHAnsi" w:hAnsiTheme="minorHAnsi" w:cs="Arial"/>
        </w:rPr>
        <w:t>start to be</w:t>
      </w:r>
      <w:r w:rsidRPr="0026338A">
        <w:rPr>
          <w:rFonts w:asciiTheme="minorHAnsi" w:hAnsiTheme="minorHAnsi" w:cs="Arial"/>
        </w:rPr>
        <w:t xml:space="preserve"> available</w:t>
      </w:r>
      <w:r w:rsidR="008615B4" w:rsidRPr="0026338A">
        <w:rPr>
          <w:rFonts w:asciiTheme="minorHAnsi" w:hAnsiTheme="minorHAnsi" w:cs="Arial"/>
        </w:rPr>
        <w:t xml:space="preserve"> </w:t>
      </w:r>
      <w:r w:rsidR="00F2209D">
        <w:rPr>
          <w:rFonts w:asciiTheme="minorHAnsi" w:hAnsiTheme="minorHAnsi" w:cs="Arial"/>
        </w:rPr>
        <w:t>after</w:t>
      </w:r>
      <w:r w:rsidRPr="0026338A">
        <w:rPr>
          <w:rFonts w:asciiTheme="minorHAnsi" w:hAnsiTheme="minorHAnsi" w:cs="Arial"/>
        </w:rPr>
        <w:t xml:space="preserve"> late 2017.</w:t>
      </w:r>
    </w:p>
    <w:p w:rsidR="00E25000" w:rsidRPr="00E25000" w:rsidRDefault="00E25000" w:rsidP="00E25000">
      <w:pPr>
        <w:pStyle w:val="ListParagraph"/>
        <w:numPr>
          <w:ilvl w:val="0"/>
          <w:numId w:val="13"/>
        </w:numPr>
        <w:spacing w:after="120"/>
        <w:contextualSpacing w:val="0"/>
        <w:rPr>
          <w:rFonts w:asciiTheme="minorHAnsi" w:hAnsiTheme="minorHAnsi" w:cs="Arial"/>
        </w:rPr>
      </w:pPr>
      <w:r w:rsidRPr="00E25000">
        <w:rPr>
          <w:rFonts w:asciiTheme="minorHAnsi" w:hAnsiTheme="minorHAnsi" w:cs="Arial"/>
        </w:rPr>
        <w:t xml:space="preserve">Australian Pork Limited, </w:t>
      </w:r>
      <w:r w:rsidR="00073986">
        <w:rPr>
          <w:rFonts w:asciiTheme="minorHAnsi" w:hAnsiTheme="minorHAnsi" w:cs="Arial"/>
        </w:rPr>
        <w:t>Rural Industries Research and Development Corporation</w:t>
      </w:r>
      <w:r w:rsidR="00335232">
        <w:rPr>
          <w:rFonts w:asciiTheme="minorHAnsi" w:hAnsiTheme="minorHAnsi" w:cs="Arial"/>
        </w:rPr>
        <w:t xml:space="preserve">, </w:t>
      </w:r>
      <w:r w:rsidRPr="00E25000">
        <w:rPr>
          <w:rFonts w:asciiTheme="minorHAnsi" w:hAnsiTheme="minorHAnsi" w:cs="Arial"/>
        </w:rPr>
        <w:t>Australian Chicken Meat Federation, University of Adelaide, Murdoch University, and NSW Department of Primary Industries will be jointly undertaking a project</w:t>
      </w:r>
      <w:r w:rsidR="00073986">
        <w:rPr>
          <w:rFonts w:asciiTheme="minorHAnsi" w:hAnsiTheme="minorHAnsi" w:cs="Arial"/>
        </w:rPr>
        <w:t xml:space="preserve"> </w:t>
      </w:r>
      <w:r w:rsidRPr="00E25000">
        <w:rPr>
          <w:rFonts w:asciiTheme="minorHAnsi" w:hAnsiTheme="minorHAnsi" w:cs="Arial"/>
        </w:rPr>
        <w:t xml:space="preserve">on high throughput technology for defining </w:t>
      </w:r>
      <w:r w:rsidR="007E7E4E">
        <w:rPr>
          <w:rFonts w:asciiTheme="minorHAnsi" w:hAnsiTheme="minorHAnsi" w:cs="Arial"/>
        </w:rPr>
        <w:t>AMR</w:t>
      </w:r>
      <w:r w:rsidRPr="00E25000">
        <w:rPr>
          <w:rFonts w:asciiTheme="minorHAnsi" w:hAnsiTheme="minorHAnsi" w:cs="Arial"/>
        </w:rPr>
        <w:t xml:space="preserve"> status of pork and chicken meat enterprises. The proposed research aims to utilise robotics that work extremely quickly, precisely and cost-effectively, to provide efficient, accurate and cost effective methods to determine bacterial </w:t>
      </w:r>
      <w:r w:rsidR="007E7E4E">
        <w:rPr>
          <w:rFonts w:asciiTheme="minorHAnsi" w:hAnsiTheme="minorHAnsi" w:cs="Arial"/>
        </w:rPr>
        <w:t>AMR</w:t>
      </w:r>
      <w:r w:rsidRPr="00E25000">
        <w:rPr>
          <w:rFonts w:asciiTheme="minorHAnsi" w:hAnsiTheme="minorHAnsi" w:cs="Arial"/>
        </w:rPr>
        <w:t xml:space="preserve"> present on farm.</w:t>
      </w:r>
    </w:p>
    <w:p w:rsidR="0063019B" w:rsidRPr="0063019B" w:rsidRDefault="0063019B" w:rsidP="00D667C4">
      <w:pPr>
        <w:pStyle w:val="ListParagraph"/>
        <w:numPr>
          <w:ilvl w:val="0"/>
          <w:numId w:val="13"/>
        </w:numPr>
        <w:spacing w:after="120"/>
        <w:contextualSpacing w:val="0"/>
        <w:rPr>
          <w:rFonts w:asciiTheme="minorHAnsi" w:hAnsiTheme="minorHAnsi" w:cs="Arial"/>
        </w:rPr>
      </w:pPr>
      <w:r w:rsidRPr="0063019B">
        <w:rPr>
          <w:rFonts w:asciiTheme="minorHAnsi" w:hAnsiTheme="minorHAnsi" w:cs="Arial"/>
        </w:rPr>
        <w:t>The Australian Chicken Meat Federation and Rural Industries Research and Development Corporation are survey</w:t>
      </w:r>
      <w:r w:rsidR="00EE2D25">
        <w:rPr>
          <w:rFonts w:asciiTheme="minorHAnsi" w:hAnsiTheme="minorHAnsi" w:cs="Arial"/>
        </w:rPr>
        <w:t>ing</w:t>
      </w:r>
      <w:r w:rsidRPr="0063019B">
        <w:rPr>
          <w:rFonts w:asciiTheme="minorHAnsi" w:hAnsiTheme="minorHAnsi" w:cs="Arial"/>
        </w:rPr>
        <w:t xml:space="preserve"> current laboratory capacity across the chicken meat industry and developing an agreed methodology for isolation and AMR testing. This is due for completion at the end of 2018.</w:t>
      </w:r>
    </w:p>
    <w:p w:rsidR="0063019B" w:rsidRPr="0063019B" w:rsidRDefault="0063019B" w:rsidP="00D667C4">
      <w:pPr>
        <w:pStyle w:val="ListParagraph"/>
        <w:numPr>
          <w:ilvl w:val="0"/>
          <w:numId w:val="13"/>
        </w:numPr>
        <w:spacing w:after="120"/>
        <w:contextualSpacing w:val="0"/>
        <w:rPr>
          <w:rFonts w:asciiTheme="minorHAnsi" w:hAnsiTheme="minorHAnsi" w:cs="Arial"/>
        </w:rPr>
      </w:pPr>
      <w:r w:rsidRPr="0063019B">
        <w:rPr>
          <w:rFonts w:asciiTheme="minorHAnsi" w:eastAsia="Calibri" w:hAnsiTheme="minorHAnsi" w:cs="Arial"/>
        </w:rPr>
        <w:t xml:space="preserve">Western Australia’s Department of Primary Industries and Regional Development have commenced an </w:t>
      </w:r>
      <w:r w:rsidRPr="0063019B">
        <w:rPr>
          <w:rFonts w:asciiTheme="minorHAnsi" w:hAnsiTheme="minorHAnsi" w:cs="Arial"/>
          <w:lang w:bidi="en-US"/>
        </w:rPr>
        <w:t xml:space="preserve">investigation of AMR in </w:t>
      </w:r>
      <w:r w:rsidRPr="0063019B">
        <w:rPr>
          <w:rFonts w:asciiTheme="minorHAnsi" w:hAnsiTheme="minorHAnsi" w:cs="Arial"/>
          <w:i/>
          <w:lang w:bidi="en-US"/>
        </w:rPr>
        <w:t>E.</w:t>
      </w:r>
      <w:r w:rsidR="00335232">
        <w:rPr>
          <w:rFonts w:asciiTheme="minorHAnsi" w:hAnsiTheme="minorHAnsi" w:cs="Arial"/>
          <w:i/>
          <w:lang w:bidi="en-US"/>
        </w:rPr>
        <w:t> </w:t>
      </w:r>
      <w:r w:rsidRPr="0063019B">
        <w:rPr>
          <w:rFonts w:asciiTheme="minorHAnsi" w:hAnsiTheme="minorHAnsi" w:cs="Arial"/>
          <w:i/>
          <w:lang w:bidi="en-US"/>
        </w:rPr>
        <w:t>coli</w:t>
      </w:r>
      <w:r w:rsidRPr="0063019B">
        <w:rPr>
          <w:rFonts w:asciiTheme="minorHAnsi" w:hAnsiTheme="minorHAnsi" w:cs="Arial"/>
          <w:lang w:bidi="en-US"/>
        </w:rPr>
        <w:t xml:space="preserve"> and </w:t>
      </w:r>
      <w:r w:rsidRPr="0063019B">
        <w:rPr>
          <w:rFonts w:asciiTheme="minorHAnsi" w:hAnsiTheme="minorHAnsi" w:cs="Arial"/>
          <w:i/>
          <w:lang w:bidi="en-US"/>
        </w:rPr>
        <w:t xml:space="preserve">Enterococcus </w:t>
      </w:r>
      <w:r w:rsidRPr="0063019B">
        <w:rPr>
          <w:rFonts w:asciiTheme="minorHAnsi" w:hAnsiTheme="minorHAnsi" w:cs="Arial"/>
          <w:lang w:bidi="en-US"/>
        </w:rPr>
        <w:t>sp</w:t>
      </w:r>
      <w:r w:rsidR="00335232">
        <w:rPr>
          <w:rFonts w:asciiTheme="minorHAnsi" w:hAnsiTheme="minorHAnsi" w:cs="Arial"/>
          <w:lang w:bidi="en-US"/>
        </w:rPr>
        <w:t>ecies</w:t>
      </w:r>
      <w:r w:rsidRPr="0063019B">
        <w:rPr>
          <w:rFonts w:asciiTheme="minorHAnsi" w:hAnsiTheme="minorHAnsi" w:cs="Arial"/>
          <w:lang w:bidi="en-US"/>
        </w:rPr>
        <w:t xml:space="preserve"> isolates from Western Australian cattle. The study is expected to be completed by June 2018.</w:t>
      </w:r>
    </w:p>
    <w:p w:rsidR="0063019B" w:rsidRPr="0063019B" w:rsidRDefault="0063019B" w:rsidP="00D667C4">
      <w:pPr>
        <w:pStyle w:val="ListParagraph"/>
        <w:numPr>
          <w:ilvl w:val="0"/>
          <w:numId w:val="13"/>
        </w:numPr>
        <w:spacing w:after="120"/>
        <w:contextualSpacing w:val="0"/>
        <w:rPr>
          <w:rFonts w:asciiTheme="minorHAnsi" w:hAnsiTheme="minorHAnsi" w:cs="Arial"/>
        </w:rPr>
      </w:pPr>
      <w:r w:rsidRPr="0063019B">
        <w:rPr>
          <w:rFonts w:asciiTheme="minorHAnsi" w:hAnsiTheme="minorHAnsi" w:cs="Arial"/>
          <w:lang w:bidi="en-US"/>
        </w:rPr>
        <w:t>Meat &amp; Livestock Australia</w:t>
      </w:r>
      <w:r w:rsidRPr="0063019B">
        <w:rPr>
          <w:rFonts w:asciiTheme="minorHAnsi" w:hAnsiTheme="minorHAnsi" w:cs="Arial"/>
        </w:rPr>
        <w:t xml:space="preserve"> are commencing a survey of </w:t>
      </w:r>
      <w:r w:rsidR="007E7E4E">
        <w:rPr>
          <w:rFonts w:asciiTheme="minorHAnsi" w:hAnsiTheme="minorHAnsi" w:cs="Arial"/>
        </w:rPr>
        <w:t>AMR</w:t>
      </w:r>
      <w:r w:rsidRPr="0063019B">
        <w:rPr>
          <w:rFonts w:asciiTheme="minorHAnsi" w:hAnsiTheme="minorHAnsi" w:cs="Arial"/>
        </w:rPr>
        <w:t xml:space="preserve"> of pathogens (</w:t>
      </w:r>
      <w:r w:rsidRPr="0063019B">
        <w:rPr>
          <w:rFonts w:asciiTheme="minorHAnsi" w:hAnsiTheme="minorHAnsi" w:cs="Arial"/>
          <w:i/>
        </w:rPr>
        <w:t>Salmonella</w:t>
      </w:r>
      <w:r w:rsidRPr="0063019B">
        <w:rPr>
          <w:rFonts w:asciiTheme="minorHAnsi" w:hAnsiTheme="minorHAnsi" w:cs="Arial"/>
        </w:rPr>
        <w:t>) and commensals (</w:t>
      </w:r>
      <w:r w:rsidRPr="0063019B">
        <w:rPr>
          <w:rFonts w:asciiTheme="minorHAnsi" w:hAnsiTheme="minorHAnsi" w:cs="Arial"/>
          <w:i/>
        </w:rPr>
        <w:t>E.</w:t>
      </w:r>
      <w:r w:rsidR="00335232">
        <w:rPr>
          <w:rFonts w:asciiTheme="minorHAnsi" w:hAnsiTheme="minorHAnsi" w:cs="Arial"/>
          <w:i/>
        </w:rPr>
        <w:t> </w:t>
      </w:r>
      <w:r w:rsidRPr="0063019B">
        <w:rPr>
          <w:rFonts w:asciiTheme="minorHAnsi" w:hAnsiTheme="minorHAnsi" w:cs="Arial"/>
          <w:i/>
        </w:rPr>
        <w:t>coli</w:t>
      </w:r>
      <w:r w:rsidRPr="0063019B">
        <w:rPr>
          <w:rFonts w:asciiTheme="minorHAnsi" w:hAnsiTheme="minorHAnsi" w:cs="Arial"/>
        </w:rPr>
        <w:t xml:space="preserve">, </w:t>
      </w:r>
      <w:r w:rsidRPr="0063019B">
        <w:rPr>
          <w:rFonts w:asciiTheme="minorHAnsi" w:hAnsiTheme="minorHAnsi" w:cs="Arial"/>
          <w:i/>
        </w:rPr>
        <w:t xml:space="preserve">Enterococcus </w:t>
      </w:r>
      <w:r w:rsidRPr="0063019B">
        <w:rPr>
          <w:rFonts w:asciiTheme="minorHAnsi" w:hAnsiTheme="minorHAnsi" w:cs="Arial"/>
        </w:rPr>
        <w:t>sp</w:t>
      </w:r>
      <w:r w:rsidR="00335232">
        <w:rPr>
          <w:rFonts w:asciiTheme="minorHAnsi" w:hAnsiTheme="minorHAnsi" w:cs="Arial"/>
        </w:rPr>
        <w:t>ecies</w:t>
      </w:r>
      <w:r w:rsidRPr="0063019B">
        <w:rPr>
          <w:rFonts w:asciiTheme="minorHAnsi" w:hAnsiTheme="minorHAnsi" w:cs="Arial"/>
        </w:rPr>
        <w:t>) in sheep faeces at the time of slaughter. Specimen collection will begin in the second half of 2017 and a report is expected in mid</w:t>
      </w:r>
      <w:r w:rsidR="00335232">
        <w:rPr>
          <w:rFonts w:asciiTheme="minorHAnsi" w:hAnsiTheme="minorHAnsi" w:cs="Arial"/>
        </w:rPr>
        <w:t>-</w:t>
      </w:r>
      <w:r w:rsidRPr="0063019B">
        <w:rPr>
          <w:rFonts w:asciiTheme="minorHAnsi" w:hAnsiTheme="minorHAnsi" w:cs="Arial"/>
        </w:rPr>
        <w:t>2019.</w:t>
      </w:r>
    </w:p>
    <w:p w:rsidR="0063019B" w:rsidRPr="0063019B" w:rsidRDefault="0063019B" w:rsidP="00D667C4">
      <w:pPr>
        <w:pStyle w:val="ListParagraph"/>
        <w:numPr>
          <w:ilvl w:val="0"/>
          <w:numId w:val="13"/>
        </w:numPr>
        <w:spacing w:after="120"/>
        <w:ind w:left="714" w:hanging="357"/>
        <w:contextualSpacing w:val="0"/>
        <w:rPr>
          <w:rFonts w:asciiTheme="minorHAnsi" w:eastAsia="Calibri" w:hAnsiTheme="minorHAnsi" w:cs="Arial"/>
        </w:rPr>
      </w:pPr>
      <w:r w:rsidRPr="0063019B">
        <w:rPr>
          <w:rFonts w:asciiTheme="minorHAnsi" w:eastAsia="Calibri" w:hAnsiTheme="minorHAnsi" w:cs="Arial"/>
        </w:rPr>
        <w:t>The University of Queensland a</w:t>
      </w:r>
      <w:r w:rsidR="00335232">
        <w:rPr>
          <w:rFonts w:asciiTheme="minorHAnsi" w:eastAsia="Calibri" w:hAnsiTheme="minorHAnsi" w:cs="Arial"/>
        </w:rPr>
        <w:t xml:space="preserve">nd </w:t>
      </w:r>
      <w:r w:rsidRPr="0063019B">
        <w:rPr>
          <w:rFonts w:asciiTheme="minorHAnsi" w:eastAsia="Calibri" w:hAnsiTheme="minorHAnsi" w:cs="Arial"/>
        </w:rPr>
        <w:t xml:space="preserve">the Poultry Cooperative Research Centre </w:t>
      </w:r>
      <w:r w:rsidR="005C33B6">
        <w:rPr>
          <w:rFonts w:asciiTheme="minorHAnsi" w:eastAsia="Calibri" w:hAnsiTheme="minorHAnsi" w:cs="Arial"/>
        </w:rPr>
        <w:t>are investigating</w:t>
      </w:r>
      <w:r w:rsidR="005C33B6" w:rsidRPr="0063019B">
        <w:rPr>
          <w:rFonts w:asciiTheme="minorHAnsi" w:eastAsia="Calibri" w:hAnsiTheme="minorHAnsi" w:cs="Arial"/>
        </w:rPr>
        <w:t xml:space="preserve"> </w:t>
      </w:r>
      <w:r w:rsidR="005C33B6">
        <w:rPr>
          <w:rFonts w:asciiTheme="minorHAnsi" w:eastAsia="Calibri" w:hAnsiTheme="minorHAnsi" w:cs="Arial"/>
        </w:rPr>
        <w:t>AMR</w:t>
      </w:r>
      <w:r w:rsidR="005C33B6" w:rsidRPr="0063019B">
        <w:rPr>
          <w:rFonts w:asciiTheme="minorHAnsi" w:eastAsia="Calibri" w:hAnsiTheme="minorHAnsi" w:cs="Arial"/>
        </w:rPr>
        <w:t xml:space="preserve">, virulence and </w:t>
      </w:r>
      <w:r w:rsidR="005C33B6">
        <w:rPr>
          <w:rFonts w:asciiTheme="minorHAnsi" w:eastAsia="Calibri" w:hAnsiTheme="minorHAnsi" w:cs="Arial"/>
        </w:rPr>
        <w:t xml:space="preserve">the </w:t>
      </w:r>
      <w:r w:rsidR="005C33B6" w:rsidRPr="0063019B">
        <w:rPr>
          <w:rFonts w:asciiTheme="minorHAnsi" w:eastAsia="Calibri" w:hAnsiTheme="minorHAnsi" w:cs="Arial"/>
        </w:rPr>
        <w:t xml:space="preserve">risk associated with avian pathogenic </w:t>
      </w:r>
      <w:r w:rsidR="005C33B6" w:rsidRPr="0063019B">
        <w:rPr>
          <w:rFonts w:asciiTheme="minorHAnsi" w:eastAsia="Calibri" w:hAnsiTheme="minorHAnsi" w:cs="Arial"/>
          <w:i/>
        </w:rPr>
        <w:t>E.</w:t>
      </w:r>
      <w:r w:rsidR="00335232">
        <w:rPr>
          <w:rFonts w:asciiTheme="minorHAnsi" w:eastAsia="Calibri" w:hAnsiTheme="minorHAnsi" w:cs="Arial"/>
          <w:i/>
        </w:rPr>
        <w:t> </w:t>
      </w:r>
      <w:r w:rsidR="005C33B6" w:rsidRPr="0063019B">
        <w:rPr>
          <w:rFonts w:asciiTheme="minorHAnsi" w:eastAsia="Calibri" w:hAnsiTheme="minorHAnsi" w:cs="Arial"/>
          <w:i/>
        </w:rPr>
        <w:t>coli</w:t>
      </w:r>
      <w:r w:rsidR="005C33B6">
        <w:rPr>
          <w:rFonts w:asciiTheme="minorHAnsi" w:eastAsia="Calibri" w:hAnsiTheme="minorHAnsi" w:cs="Arial"/>
        </w:rPr>
        <w:t xml:space="preserve"> </w:t>
      </w:r>
      <w:r w:rsidRPr="0063019B">
        <w:rPr>
          <w:rFonts w:asciiTheme="minorHAnsi" w:eastAsia="Calibri" w:hAnsiTheme="minorHAnsi" w:cs="Arial"/>
        </w:rPr>
        <w:t xml:space="preserve">in commercial broiler chickens in Southeast Queensland. The study is due for completion in </w:t>
      </w:r>
      <w:r w:rsidR="00C0371B">
        <w:rPr>
          <w:rFonts w:asciiTheme="minorHAnsi" w:eastAsia="Calibri" w:hAnsiTheme="minorHAnsi" w:cs="Arial"/>
        </w:rPr>
        <w:t xml:space="preserve">late </w:t>
      </w:r>
      <w:r w:rsidRPr="0063019B">
        <w:rPr>
          <w:rFonts w:asciiTheme="minorHAnsi" w:eastAsia="Calibri" w:hAnsiTheme="minorHAnsi" w:cs="Arial"/>
        </w:rPr>
        <w:t>2017.</w:t>
      </w:r>
    </w:p>
    <w:p w:rsidR="0063019B" w:rsidRPr="0063019B" w:rsidRDefault="0063019B" w:rsidP="00D667C4">
      <w:pPr>
        <w:pStyle w:val="ListParagraph"/>
        <w:spacing w:after="120"/>
        <w:ind w:left="714"/>
        <w:contextualSpacing w:val="0"/>
        <w:rPr>
          <w:rFonts w:asciiTheme="minorHAnsi" w:eastAsia="Calibri" w:hAnsiTheme="minorHAnsi" w:cs="Arial"/>
        </w:rPr>
      </w:pPr>
      <w:r w:rsidRPr="0063019B">
        <w:rPr>
          <w:rFonts w:asciiTheme="minorHAnsi" w:eastAsia="Calibri" w:hAnsiTheme="minorHAnsi" w:cs="Arial"/>
        </w:rPr>
        <w:t xml:space="preserve">The University of Queensland </w:t>
      </w:r>
      <w:r w:rsidR="00335232">
        <w:rPr>
          <w:rFonts w:asciiTheme="minorHAnsi" w:eastAsia="Calibri" w:hAnsiTheme="minorHAnsi" w:cs="Arial"/>
        </w:rPr>
        <w:t>is</w:t>
      </w:r>
      <w:r w:rsidRPr="0063019B">
        <w:rPr>
          <w:rFonts w:asciiTheme="minorHAnsi" w:eastAsia="Calibri" w:hAnsiTheme="minorHAnsi" w:cs="Arial"/>
        </w:rPr>
        <w:t xml:space="preserve"> study</w:t>
      </w:r>
      <w:r w:rsidR="00EE2D25">
        <w:rPr>
          <w:rFonts w:asciiTheme="minorHAnsi" w:eastAsia="Calibri" w:hAnsiTheme="minorHAnsi" w:cs="Arial"/>
        </w:rPr>
        <w:t>ing</w:t>
      </w:r>
      <w:r w:rsidRPr="0063019B">
        <w:rPr>
          <w:rFonts w:asciiTheme="minorHAnsi" w:eastAsia="Calibri" w:hAnsiTheme="minorHAnsi" w:cs="Arial"/>
        </w:rPr>
        <w:t xml:space="preserve"> prevalence, risk factors and phylogeography of methicillin-resistant </w:t>
      </w:r>
      <w:r w:rsidRPr="0063019B">
        <w:rPr>
          <w:rFonts w:asciiTheme="minorHAnsi" w:eastAsia="Calibri" w:hAnsiTheme="minorHAnsi" w:cs="Arial"/>
          <w:i/>
        </w:rPr>
        <w:t>Staphylococcus</w:t>
      </w:r>
      <w:r w:rsidRPr="0063019B">
        <w:rPr>
          <w:rFonts w:asciiTheme="minorHAnsi" w:eastAsia="Calibri" w:hAnsiTheme="minorHAnsi" w:cs="Arial"/>
        </w:rPr>
        <w:t xml:space="preserve"> sp</w:t>
      </w:r>
      <w:r w:rsidR="00335232">
        <w:rPr>
          <w:rFonts w:asciiTheme="minorHAnsi" w:eastAsia="Calibri" w:hAnsiTheme="minorHAnsi" w:cs="Arial"/>
        </w:rPr>
        <w:t>ecies</w:t>
      </w:r>
      <w:r w:rsidRPr="0063019B">
        <w:rPr>
          <w:rFonts w:asciiTheme="minorHAnsi" w:eastAsia="Calibri" w:hAnsiTheme="minorHAnsi" w:cs="Arial"/>
        </w:rPr>
        <w:t xml:space="preserve"> in dogs, cats and horses in the greater Brisbane area. </w:t>
      </w:r>
      <w:r w:rsidR="00EE2D25">
        <w:rPr>
          <w:rFonts w:asciiTheme="minorHAnsi" w:eastAsia="Calibri" w:hAnsiTheme="minorHAnsi" w:cs="Arial"/>
        </w:rPr>
        <w:t>This</w:t>
      </w:r>
      <w:r w:rsidRPr="0063019B">
        <w:rPr>
          <w:rFonts w:asciiTheme="minorHAnsi" w:eastAsia="Calibri" w:hAnsiTheme="minorHAnsi" w:cs="Arial"/>
        </w:rPr>
        <w:t xml:space="preserve"> is due for completion in 2018.</w:t>
      </w:r>
    </w:p>
    <w:p w:rsidR="00B9168A" w:rsidRPr="004146B6" w:rsidRDefault="00B9168A" w:rsidP="00445D1A">
      <w:pPr>
        <w:pStyle w:val="Heading3"/>
      </w:pPr>
      <w:r w:rsidRPr="004146B6">
        <w:t>What are our challenges?</w:t>
      </w:r>
    </w:p>
    <w:p w:rsidR="004E3B0F" w:rsidRPr="005F3BA8" w:rsidRDefault="004E3B0F" w:rsidP="005F3BA8">
      <w:pPr>
        <w:pStyle w:val="ListParagraph"/>
        <w:numPr>
          <w:ilvl w:val="0"/>
          <w:numId w:val="13"/>
        </w:numPr>
        <w:spacing w:after="120"/>
        <w:ind w:left="714" w:hanging="357"/>
        <w:contextualSpacing w:val="0"/>
        <w:rPr>
          <w:rFonts w:asciiTheme="minorHAnsi" w:eastAsia="Calibri" w:hAnsiTheme="minorHAnsi" w:cs="Arial"/>
        </w:rPr>
      </w:pPr>
      <w:r w:rsidRPr="005F3BA8">
        <w:rPr>
          <w:rFonts w:asciiTheme="minorHAnsi" w:eastAsia="Calibri" w:hAnsiTheme="minorHAnsi" w:cs="Arial"/>
        </w:rPr>
        <w:t>Establishing a national, integrated, funded, sustainable and ongoing One Health surveillance system that also caters for the notification of AMR isolates in companion animals</w:t>
      </w:r>
      <w:r w:rsidR="0074610A" w:rsidRPr="005F3BA8">
        <w:rPr>
          <w:rFonts w:asciiTheme="minorHAnsi" w:eastAsia="Calibri" w:hAnsiTheme="minorHAnsi" w:cs="Arial"/>
        </w:rPr>
        <w:t xml:space="preserve"> and the environment</w:t>
      </w:r>
      <w:r w:rsidRPr="005F3BA8">
        <w:rPr>
          <w:rFonts w:asciiTheme="minorHAnsi" w:eastAsia="Calibri" w:hAnsiTheme="minorHAnsi" w:cs="Arial"/>
        </w:rPr>
        <w:t xml:space="preserve"> is </w:t>
      </w:r>
      <w:r w:rsidR="00146784">
        <w:rPr>
          <w:rFonts w:asciiTheme="minorHAnsi" w:eastAsia="Calibri" w:hAnsiTheme="minorHAnsi" w:cs="Arial"/>
        </w:rPr>
        <w:t>a</w:t>
      </w:r>
      <w:r w:rsidR="00F91428" w:rsidRPr="005F3BA8">
        <w:rPr>
          <w:rFonts w:asciiTheme="minorHAnsi" w:eastAsia="Calibri" w:hAnsiTheme="minorHAnsi" w:cs="Arial"/>
        </w:rPr>
        <w:t xml:space="preserve"> </w:t>
      </w:r>
      <w:r w:rsidR="0074610A" w:rsidRPr="005F3BA8">
        <w:rPr>
          <w:rFonts w:asciiTheme="minorHAnsi" w:eastAsia="Calibri" w:hAnsiTheme="minorHAnsi" w:cs="Arial"/>
        </w:rPr>
        <w:t xml:space="preserve">complex undertaking </w:t>
      </w:r>
      <w:r w:rsidR="00146784">
        <w:rPr>
          <w:rFonts w:asciiTheme="minorHAnsi" w:eastAsia="Calibri" w:hAnsiTheme="minorHAnsi" w:cs="Arial"/>
        </w:rPr>
        <w:t>requiring</w:t>
      </w:r>
      <w:r w:rsidR="00F91428" w:rsidRPr="005F3BA8">
        <w:rPr>
          <w:rFonts w:asciiTheme="minorHAnsi" w:eastAsia="Calibri" w:hAnsiTheme="minorHAnsi" w:cs="Arial"/>
        </w:rPr>
        <w:t xml:space="preserve"> </w:t>
      </w:r>
      <w:r w:rsidR="005F3BA8">
        <w:rPr>
          <w:rFonts w:asciiTheme="minorHAnsi" w:eastAsia="Calibri" w:hAnsiTheme="minorHAnsi" w:cs="Arial"/>
        </w:rPr>
        <w:t>a staged, prioritised approach.</w:t>
      </w:r>
    </w:p>
    <w:p w:rsidR="00146784" w:rsidRDefault="00146784" w:rsidP="00146784">
      <w:pPr>
        <w:pStyle w:val="ListParagraph"/>
        <w:numPr>
          <w:ilvl w:val="0"/>
          <w:numId w:val="13"/>
        </w:numPr>
        <w:spacing w:after="120"/>
        <w:ind w:left="714" w:hanging="357"/>
        <w:contextualSpacing w:val="0"/>
        <w:rPr>
          <w:rFonts w:asciiTheme="minorHAnsi" w:eastAsia="Calibri" w:hAnsiTheme="minorHAnsi" w:cs="Arial"/>
        </w:rPr>
      </w:pPr>
      <w:r>
        <w:rPr>
          <w:rFonts w:asciiTheme="minorHAnsi" w:eastAsia="Calibri" w:hAnsiTheme="minorHAnsi" w:cs="Arial"/>
        </w:rPr>
        <w:t>The current l</w:t>
      </w:r>
      <w:r w:rsidR="00C0371B" w:rsidRPr="005F3BA8">
        <w:rPr>
          <w:rFonts w:asciiTheme="minorHAnsi" w:eastAsia="Calibri" w:hAnsiTheme="minorHAnsi" w:cs="Arial"/>
        </w:rPr>
        <w:t>ack of quantitative data on antibiotic usage per animal species and sector.</w:t>
      </w:r>
    </w:p>
    <w:p w:rsidR="00146784" w:rsidRPr="005F3BA8" w:rsidRDefault="00146784" w:rsidP="00146784">
      <w:pPr>
        <w:pStyle w:val="ListParagraph"/>
        <w:numPr>
          <w:ilvl w:val="0"/>
          <w:numId w:val="13"/>
        </w:numPr>
        <w:spacing w:after="120"/>
        <w:ind w:left="714" w:hanging="357"/>
        <w:contextualSpacing w:val="0"/>
        <w:rPr>
          <w:rFonts w:asciiTheme="minorHAnsi" w:eastAsia="Calibri" w:hAnsiTheme="minorHAnsi" w:cs="Arial"/>
        </w:rPr>
      </w:pPr>
      <w:r w:rsidRPr="005F3BA8">
        <w:rPr>
          <w:rFonts w:asciiTheme="minorHAnsi" w:eastAsia="Calibri" w:hAnsiTheme="minorHAnsi" w:cs="Arial"/>
        </w:rPr>
        <w:t>Ongoing rather than ad hoc surveillance of AMR and antimicrobial usage in animal health, including companion animals is required. This is essential to establish a One Health surveillance system in the future.</w:t>
      </w:r>
    </w:p>
    <w:p w:rsidR="00146784" w:rsidRPr="004A652D" w:rsidRDefault="00146784" w:rsidP="00146784">
      <w:pPr>
        <w:pStyle w:val="ListParagraph"/>
        <w:numPr>
          <w:ilvl w:val="0"/>
          <w:numId w:val="13"/>
        </w:numPr>
        <w:spacing w:after="120"/>
        <w:ind w:left="714" w:hanging="357"/>
        <w:contextualSpacing w:val="0"/>
        <w:rPr>
          <w:rFonts w:asciiTheme="minorHAnsi" w:eastAsia="Calibri" w:hAnsiTheme="minorHAnsi" w:cs="Arial"/>
        </w:rPr>
      </w:pPr>
      <w:r w:rsidRPr="005F3BA8">
        <w:rPr>
          <w:rFonts w:asciiTheme="minorHAnsi" w:eastAsia="Calibri" w:hAnsiTheme="minorHAnsi" w:cs="Arial"/>
        </w:rPr>
        <w:lastRenderedPageBreak/>
        <w:t xml:space="preserve">The current variation in jurisdictional and national datasets within surveillance systems is problematic. To enable </w:t>
      </w:r>
      <w:r>
        <w:rPr>
          <w:rFonts w:asciiTheme="minorHAnsi" w:eastAsia="Calibri" w:hAnsiTheme="minorHAnsi" w:cs="Arial"/>
        </w:rPr>
        <w:t xml:space="preserve">data </w:t>
      </w:r>
      <w:r w:rsidRPr="005F3BA8">
        <w:rPr>
          <w:rFonts w:asciiTheme="minorHAnsi" w:eastAsia="Calibri" w:hAnsiTheme="minorHAnsi" w:cs="Arial"/>
        </w:rPr>
        <w:t>comparison, diagnostic laboratories need to apply uniform antibacterial susceptibility testing methods and reporting standards.</w:t>
      </w:r>
    </w:p>
    <w:p w:rsidR="00AB1C51" w:rsidRPr="005F3BA8" w:rsidRDefault="00AB1C51" w:rsidP="005F3BA8">
      <w:pPr>
        <w:pStyle w:val="ListParagraph"/>
        <w:numPr>
          <w:ilvl w:val="0"/>
          <w:numId w:val="13"/>
        </w:numPr>
        <w:spacing w:after="120"/>
        <w:ind w:left="714" w:hanging="357"/>
        <w:contextualSpacing w:val="0"/>
        <w:rPr>
          <w:rFonts w:asciiTheme="minorHAnsi" w:eastAsia="Calibri" w:hAnsiTheme="minorHAnsi" w:cs="Arial"/>
        </w:rPr>
      </w:pPr>
      <w:r w:rsidRPr="005F3BA8">
        <w:rPr>
          <w:rFonts w:asciiTheme="minorHAnsi" w:eastAsia="Calibri" w:hAnsiTheme="minorHAnsi" w:cs="Arial"/>
        </w:rPr>
        <w:t xml:space="preserve">Fit for purpose IT infrastructure to deliver real-time access to data across all sectors (human health, food and animal health) </w:t>
      </w:r>
      <w:r w:rsidR="00C3031B" w:rsidRPr="005F3BA8">
        <w:rPr>
          <w:rFonts w:asciiTheme="minorHAnsi" w:eastAsia="Calibri" w:hAnsiTheme="minorHAnsi" w:cs="Arial"/>
        </w:rPr>
        <w:t>would</w:t>
      </w:r>
      <w:r w:rsidRPr="005F3BA8">
        <w:rPr>
          <w:rFonts w:asciiTheme="minorHAnsi" w:eastAsia="Calibri" w:hAnsiTheme="minorHAnsi" w:cs="Arial"/>
        </w:rPr>
        <w:t xml:space="preserve"> enable appropriate interventions and responses.</w:t>
      </w:r>
    </w:p>
    <w:p w:rsidR="00B9168A" w:rsidRPr="00383F33" w:rsidRDefault="00E9214D" w:rsidP="00D667C4">
      <w:pPr>
        <w:pStyle w:val="ListParagraph"/>
        <w:numPr>
          <w:ilvl w:val="0"/>
          <w:numId w:val="6"/>
        </w:numPr>
        <w:spacing w:after="120"/>
        <w:rPr>
          <w:rFonts w:asciiTheme="minorHAnsi" w:hAnsiTheme="minorHAnsi" w:cs="Arial"/>
        </w:rPr>
      </w:pPr>
      <w:r w:rsidRPr="00383F33">
        <w:rPr>
          <w:rFonts w:asciiTheme="minorHAnsi" w:hAnsiTheme="minorHAnsi" w:cs="Arial"/>
        </w:rPr>
        <w:t>Privacy considerations prevent the collection of patient-identifying information, which li</w:t>
      </w:r>
      <w:r w:rsidR="00383F33" w:rsidRPr="00383F33">
        <w:rPr>
          <w:rFonts w:asciiTheme="minorHAnsi" w:hAnsiTheme="minorHAnsi" w:cs="Arial"/>
        </w:rPr>
        <w:t>mits the detail of what can be collected. Some data are potentially relevant to analysis</w:t>
      </w:r>
      <w:r w:rsidR="000509E9">
        <w:rPr>
          <w:rFonts w:asciiTheme="minorHAnsi" w:hAnsiTheme="minorHAnsi" w:cs="Arial"/>
        </w:rPr>
        <w:t xml:space="preserve"> (</w:t>
      </w:r>
      <w:r w:rsidR="00383F33" w:rsidRPr="00383F33">
        <w:rPr>
          <w:rFonts w:asciiTheme="minorHAnsi" w:hAnsiTheme="minorHAnsi" w:cs="Arial"/>
        </w:rPr>
        <w:t>such as post-codes</w:t>
      </w:r>
      <w:r w:rsidR="000509E9">
        <w:rPr>
          <w:rFonts w:asciiTheme="minorHAnsi" w:hAnsiTheme="minorHAnsi" w:cs="Arial"/>
        </w:rPr>
        <w:t>)</w:t>
      </w:r>
      <w:r w:rsidR="00383F33" w:rsidRPr="00383F33">
        <w:rPr>
          <w:rFonts w:asciiTheme="minorHAnsi" w:hAnsiTheme="minorHAnsi" w:cs="Arial"/>
        </w:rPr>
        <w:t xml:space="preserve"> </w:t>
      </w:r>
      <w:r w:rsidR="000509E9">
        <w:rPr>
          <w:rFonts w:asciiTheme="minorHAnsi" w:hAnsiTheme="minorHAnsi" w:cs="Arial"/>
        </w:rPr>
        <w:t xml:space="preserve">and help </w:t>
      </w:r>
      <w:r w:rsidR="00383F33" w:rsidRPr="00383F33">
        <w:rPr>
          <w:rFonts w:asciiTheme="minorHAnsi" w:hAnsiTheme="minorHAnsi" w:cs="Arial"/>
        </w:rPr>
        <w:t>identify cross-border regional case cl</w:t>
      </w:r>
      <w:r w:rsidR="005F3BA8">
        <w:rPr>
          <w:rFonts w:asciiTheme="minorHAnsi" w:hAnsiTheme="minorHAnsi" w:cs="Arial"/>
        </w:rPr>
        <w:t>usters of resistant organisms.</w:t>
      </w:r>
    </w:p>
    <w:p w:rsidR="00C02BAA" w:rsidRPr="004146B6" w:rsidRDefault="009A6291" w:rsidP="00445D1A">
      <w:pPr>
        <w:pStyle w:val="Heading3"/>
      </w:pPr>
      <w:r w:rsidRPr="004146B6">
        <w:t>Where to next?</w:t>
      </w:r>
    </w:p>
    <w:p w:rsidR="00C32BEF" w:rsidRPr="005F3BA8" w:rsidRDefault="0056061A" w:rsidP="005F3BA8">
      <w:pPr>
        <w:pStyle w:val="ListParagraph"/>
        <w:numPr>
          <w:ilvl w:val="0"/>
          <w:numId w:val="13"/>
        </w:numPr>
        <w:spacing w:after="120"/>
        <w:ind w:left="714" w:hanging="357"/>
        <w:contextualSpacing w:val="0"/>
        <w:rPr>
          <w:rFonts w:asciiTheme="minorHAnsi" w:eastAsia="Calibri" w:hAnsiTheme="minorHAnsi" w:cs="Arial"/>
        </w:rPr>
      </w:pPr>
      <w:r w:rsidRPr="005F3BA8">
        <w:rPr>
          <w:rFonts w:asciiTheme="minorHAnsi" w:eastAsia="Calibri" w:hAnsiTheme="minorHAnsi" w:cs="Arial"/>
        </w:rPr>
        <w:t xml:space="preserve">The evolution of AMR and </w:t>
      </w:r>
      <w:r w:rsidR="004A652D">
        <w:rPr>
          <w:rFonts w:asciiTheme="minorHAnsi" w:eastAsia="Calibri" w:hAnsiTheme="minorHAnsi" w:cs="Arial"/>
        </w:rPr>
        <w:t>antimicrobial usage</w:t>
      </w:r>
      <w:r w:rsidRPr="005F3BA8">
        <w:rPr>
          <w:rFonts w:asciiTheme="minorHAnsi" w:eastAsia="Calibri" w:hAnsiTheme="minorHAnsi" w:cs="Arial"/>
        </w:rPr>
        <w:t xml:space="preserve"> surveillance will be informed by </w:t>
      </w:r>
      <w:r w:rsidR="00172B3C">
        <w:rPr>
          <w:rFonts w:asciiTheme="minorHAnsi" w:eastAsia="Calibri" w:hAnsiTheme="minorHAnsi" w:cs="Arial"/>
        </w:rPr>
        <w:t xml:space="preserve">the recommendations of </w:t>
      </w:r>
      <w:r w:rsidRPr="005F3BA8">
        <w:rPr>
          <w:rFonts w:asciiTheme="minorHAnsi" w:eastAsia="Calibri" w:hAnsiTheme="minorHAnsi" w:cs="Arial"/>
        </w:rPr>
        <w:t xml:space="preserve">recent reviews and reports. </w:t>
      </w:r>
      <w:r w:rsidR="00CB1967">
        <w:rPr>
          <w:rFonts w:asciiTheme="minorHAnsi" w:eastAsia="Calibri" w:hAnsiTheme="minorHAnsi" w:cs="Arial"/>
        </w:rPr>
        <w:t>This includes</w:t>
      </w:r>
      <w:r w:rsidR="00172B3C">
        <w:rPr>
          <w:rFonts w:asciiTheme="minorHAnsi" w:eastAsia="Calibri" w:hAnsiTheme="minorHAnsi" w:cs="Arial"/>
        </w:rPr>
        <w:t xml:space="preserve"> exploring options </w:t>
      </w:r>
      <w:r w:rsidR="00172B3C" w:rsidRPr="005F3BA8">
        <w:rPr>
          <w:rFonts w:asciiTheme="minorHAnsi" w:eastAsia="Calibri" w:hAnsiTheme="minorHAnsi" w:cs="Arial"/>
        </w:rPr>
        <w:t xml:space="preserve">to ensure surveillance </w:t>
      </w:r>
      <w:r w:rsidR="00172B3C">
        <w:rPr>
          <w:rFonts w:asciiTheme="minorHAnsi" w:eastAsia="Calibri" w:hAnsiTheme="minorHAnsi" w:cs="Arial"/>
        </w:rPr>
        <w:t xml:space="preserve">systems </w:t>
      </w:r>
      <w:r w:rsidR="00CB1967">
        <w:rPr>
          <w:rFonts w:asciiTheme="minorHAnsi" w:eastAsia="Calibri" w:hAnsiTheme="minorHAnsi" w:cs="Arial"/>
        </w:rPr>
        <w:t>i</w:t>
      </w:r>
      <w:r w:rsidR="00172B3C">
        <w:rPr>
          <w:rFonts w:asciiTheme="minorHAnsi" w:eastAsia="Calibri" w:hAnsiTheme="minorHAnsi" w:cs="Arial"/>
        </w:rPr>
        <w:t xml:space="preserve">nform </w:t>
      </w:r>
      <w:r w:rsidR="00172B3C" w:rsidRPr="005F3BA8">
        <w:rPr>
          <w:rFonts w:asciiTheme="minorHAnsi" w:eastAsia="Calibri" w:hAnsiTheme="minorHAnsi" w:cs="Arial"/>
        </w:rPr>
        <w:t>action at a local level, and that appropriate response capacity</w:t>
      </w:r>
      <w:r w:rsidR="00CB1967">
        <w:rPr>
          <w:rFonts w:asciiTheme="minorHAnsi" w:eastAsia="Calibri" w:hAnsiTheme="minorHAnsi" w:cs="Arial"/>
        </w:rPr>
        <w:t xml:space="preserve"> and </w:t>
      </w:r>
      <w:r w:rsidR="00172B3C">
        <w:rPr>
          <w:rFonts w:asciiTheme="minorHAnsi" w:eastAsia="Calibri" w:hAnsiTheme="minorHAnsi" w:cs="Arial"/>
        </w:rPr>
        <w:t>coordination</w:t>
      </w:r>
      <w:r w:rsidR="00CB1967">
        <w:rPr>
          <w:rFonts w:asciiTheme="minorHAnsi" w:eastAsia="Calibri" w:hAnsiTheme="minorHAnsi" w:cs="Arial"/>
        </w:rPr>
        <w:t xml:space="preserve"> </w:t>
      </w:r>
      <w:r w:rsidR="00172B3C" w:rsidRPr="005F3BA8">
        <w:rPr>
          <w:rFonts w:asciiTheme="minorHAnsi" w:eastAsia="Calibri" w:hAnsiTheme="minorHAnsi" w:cs="Arial"/>
        </w:rPr>
        <w:t>is in place.</w:t>
      </w:r>
    </w:p>
    <w:p w:rsidR="006B6134" w:rsidRDefault="003E01CF" w:rsidP="005F3BA8">
      <w:pPr>
        <w:pStyle w:val="ListParagraph"/>
        <w:numPr>
          <w:ilvl w:val="0"/>
          <w:numId w:val="13"/>
        </w:numPr>
        <w:spacing w:after="120"/>
        <w:ind w:left="714" w:hanging="357"/>
        <w:contextualSpacing w:val="0"/>
        <w:rPr>
          <w:rFonts w:asciiTheme="minorHAnsi" w:eastAsia="Calibri" w:hAnsiTheme="minorHAnsi" w:cs="Arial"/>
        </w:rPr>
      </w:pPr>
      <w:r w:rsidRPr="005F3BA8">
        <w:rPr>
          <w:rFonts w:asciiTheme="minorHAnsi" w:eastAsia="Calibri" w:hAnsiTheme="minorHAnsi" w:cs="Arial"/>
        </w:rPr>
        <w:t xml:space="preserve">Progress the establishment of </w:t>
      </w:r>
      <w:r w:rsidR="0074608A" w:rsidRPr="005F3BA8">
        <w:rPr>
          <w:rFonts w:asciiTheme="minorHAnsi" w:eastAsia="Calibri" w:hAnsiTheme="minorHAnsi" w:cs="Arial"/>
        </w:rPr>
        <w:t xml:space="preserve">nationally consistent antibacterial </w:t>
      </w:r>
      <w:r w:rsidR="006B6134" w:rsidRPr="005F3BA8">
        <w:rPr>
          <w:rFonts w:asciiTheme="minorHAnsi" w:eastAsia="Calibri" w:hAnsiTheme="minorHAnsi" w:cs="Arial"/>
        </w:rPr>
        <w:t>susceptibility testing methods and reporting s</w:t>
      </w:r>
      <w:r w:rsidR="006A72EF" w:rsidRPr="005F3BA8">
        <w:rPr>
          <w:rFonts w:asciiTheme="minorHAnsi" w:eastAsia="Calibri" w:hAnsiTheme="minorHAnsi" w:cs="Arial"/>
        </w:rPr>
        <w:t>tandards</w:t>
      </w:r>
      <w:r w:rsidR="0023047B" w:rsidRPr="005F3BA8">
        <w:rPr>
          <w:rFonts w:asciiTheme="minorHAnsi" w:eastAsia="Calibri" w:hAnsiTheme="minorHAnsi" w:cs="Arial"/>
        </w:rPr>
        <w:t xml:space="preserve">. This </w:t>
      </w:r>
      <w:r w:rsidR="006A72EF" w:rsidRPr="005F3BA8">
        <w:rPr>
          <w:rFonts w:asciiTheme="minorHAnsi" w:eastAsia="Calibri" w:hAnsiTheme="minorHAnsi" w:cs="Arial"/>
        </w:rPr>
        <w:t xml:space="preserve">will </w:t>
      </w:r>
      <w:r w:rsidR="00146784">
        <w:rPr>
          <w:rFonts w:asciiTheme="minorHAnsi" w:eastAsia="Calibri" w:hAnsiTheme="minorHAnsi" w:cs="Arial"/>
        </w:rPr>
        <w:t>involve addressing</w:t>
      </w:r>
      <w:r w:rsidR="00C4006E" w:rsidRPr="005F3BA8">
        <w:rPr>
          <w:rFonts w:asciiTheme="minorHAnsi" w:eastAsia="Calibri" w:hAnsiTheme="minorHAnsi" w:cs="Arial"/>
        </w:rPr>
        <w:t xml:space="preserve"> </w:t>
      </w:r>
      <w:r w:rsidR="006B6134" w:rsidRPr="005F3BA8">
        <w:rPr>
          <w:rFonts w:asciiTheme="minorHAnsi" w:eastAsia="Calibri" w:hAnsiTheme="minorHAnsi" w:cs="Arial"/>
        </w:rPr>
        <w:t>the barriers for implementing consistent methods and promot</w:t>
      </w:r>
      <w:r w:rsidR="006A72EF" w:rsidRPr="005F3BA8">
        <w:rPr>
          <w:rFonts w:asciiTheme="minorHAnsi" w:eastAsia="Calibri" w:hAnsiTheme="minorHAnsi" w:cs="Arial"/>
        </w:rPr>
        <w:t>ing</w:t>
      </w:r>
      <w:r w:rsidR="006B6134" w:rsidRPr="005F3BA8">
        <w:rPr>
          <w:rFonts w:asciiTheme="minorHAnsi" w:eastAsia="Calibri" w:hAnsiTheme="minorHAnsi" w:cs="Arial"/>
        </w:rPr>
        <w:t xml:space="preserve"> the benefits of a national approach.</w:t>
      </w:r>
    </w:p>
    <w:p w:rsidR="00721F7F" w:rsidRPr="006B6134" w:rsidRDefault="00A52A46" w:rsidP="00721F7F">
      <w:pPr>
        <w:pStyle w:val="ListParagraph"/>
        <w:numPr>
          <w:ilvl w:val="0"/>
          <w:numId w:val="13"/>
        </w:numPr>
        <w:rPr>
          <w:rFonts w:asciiTheme="minorHAnsi" w:hAnsiTheme="minorHAnsi" w:cs="Arial"/>
        </w:rPr>
      </w:pPr>
      <w:r>
        <w:rPr>
          <w:rFonts w:asciiTheme="minorHAnsi" w:hAnsiTheme="minorHAnsi" w:cs="Arial"/>
        </w:rPr>
        <w:t>In relation to international surveillance, we need to work to e</w:t>
      </w:r>
      <w:r w:rsidR="00721F7F">
        <w:rPr>
          <w:rFonts w:asciiTheme="minorHAnsi" w:hAnsiTheme="minorHAnsi" w:cs="Arial"/>
        </w:rPr>
        <w:t>nsure that Australian surveillance systems have capacity to c</w:t>
      </w:r>
      <w:r w:rsidR="00721F7F" w:rsidRPr="006B6134">
        <w:rPr>
          <w:rFonts w:asciiTheme="minorHAnsi" w:hAnsiTheme="minorHAnsi" w:cs="Arial"/>
        </w:rPr>
        <w:t xml:space="preserve">ontribute to the global body of surveillance data, via the WHO Global </w:t>
      </w:r>
      <w:r w:rsidR="007E7E4E">
        <w:rPr>
          <w:rFonts w:asciiTheme="minorHAnsi" w:hAnsiTheme="minorHAnsi" w:cs="Arial"/>
        </w:rPr>
        <w:t xml:space="preserve">AMR </w:t>
      </w:r>
      <w:r w:rsidR="00721F7F" w:rsidRPr="006B6134">
        <w:rPr>
          <w:rFonts w:asciiTheme="minorHAnsi" w:hAnsiTheme="minorHAnsi" w:cs="Arial"/>
        </w:rPr>
        <w:t>Surveillance Syst</w:t>
      </w:r>
      <w:r w:rsidR="00721F7F">
        <w:rPr>
          <w:rFonts w:asciiTheme="minorHAnsi" w:hAnsiTheme="minorHAnsi" w:cs="Arial"/>
        </w:rPr>
        <w:t>em (GLASS) and the World Organis</w:t>
      </w:r>
      <w:r w:rsidR="00721F7F" w:rsidRPr="006B6134">
        <w:rPr>
          <w:rFonts w:asciiTheme="minorHAnsi" w:hAnsiTheme="minorHAnsi" w:cs="Arial"/>
        </w:rPr>
        <w:t>ation for Animal Health (OIE) global database on the use of antimicrobial agents in animals (under development).</w:t>
      </w:r>
    </w:p>
    <w:p w:rsidR="00146784" w:rsidRDefault="00146784">
      <w:r>
        <w:br w:type="page"/>
      </w:r>
    </w:p>
    <w:tbl>
      <w:tblPr>
        <w:tblStyle w:val="TableGrid"/>
        <w:tblW w:w="0" w:type="auto"/>
        <w:shd w:val="clear" w:color="auto" w:fill="92D050"/>
        <w:tblLook w:val="00A0" w:firstRow="1" w:lastRow="0" w:firstColumn="1" w:lastColumn="0" w:noHBand="0" w:noVBand="0"/>
        <w:tblCaption w:val="Objective 4: Improve infection prevention and control measures across human health and animal care settings to help prevent infections and the spread of AMR. "/>
      </w:tblPr>
      <w:tblGrid>
        <w:gridCol w:w="9242"/>
      </w:tblGrid>
      <w:tr w:rsidR="004B457F" w:rsidRPr="00FA7F0A" w:rsidTr="00E0608E">
        <w:trPr>
          <w:tblHeader/>
        </w:trPr>
        <w:tc>
          <w:tcPr>
            <w:tcW w:w="9242" w:type="dxa"/>
            <w:shd w:val="clear" w:color="auto" w:fill="92D050"/>
          </w:tcPr>
          <w:p w:rsidR="004B457F" w:rsidRPr="00FA7F0A" w:rsidRDefault="00BC57C9" w:rsidP="00D41907">
            <w:pPr>
              <w:pStyle w:val="Heading2"/>
              <w:outlineLvl w:val="1"/>
              <w:rPr>
                <w:rFonts w:eastAsia="Calibri" w:cs="Times New Roman"/>
                <w:color w:val="215868" w:themeColor="accent5" w:themeShade="80"/>
              </w:rPr>
            </w:pPr>
            <w:r>
              <w:lastRenderedPageBreak/>
              <w:br w:type="page"/>
            </w:r>
            <w:r w:rsidR="001A1C8C">
              <w:br w:type="page"/>
            </w:r>
            <w:bookmarkStart w:id="10" w:name="_Toc498070418"/>
            <w:r w:rsidR="004B457F" w:rsidRPr="00FA7F0A">
              <w:rPr>
                <w:rFonts w:eastAsia="Calibri" w:cs="Times New Roman"/>
              </w:rPr>
              <w:t xml:space="preserve">Objective 4: </w:t>
            </w:r>
            <w:r w:rsidR="004B457F" w:rsidRPr="00FA7F0A">
              <w:t xml:space="preserve">Improve infection prevention and control measures across human health and animal </w:t>
            </w:r>
            <w:r w:rsidR="00423F08">
              <w:t>care</w:t>
            </w:r>
            <w:r w:rsidR="004B457F" w:rsidRPr="00FA7F0A">
              <w:t xml:space="preserve"> settings to help prevent infections and the spread of </w:t>
            </w:r>
            <w:r w:rsidR="00423F08">
              <w:t>resistance</w:t>
            </w:r>
            <w:r w:rsidR="004B457F" w:rsidRPr="00FA7F0A">
              <w:t>.</w:t>
            </w:r>
            <w:bookmarkEnd w:id="10"/>
          </w:p>
        </w:tc>
      </w:tr>
    </w:tbl>
    <w:p w:rsidR="00116E9A" w:rsidRPr="00EA3978" w:rsidRDefault="00116E9A" w:rsidP="00C02BAA">
      <w:pPr>
        <w:rPr>
          <w:rFonts w:asciiTheme="minorHAnsi" w:hAnsiTheme="minorHAnsi"/>
        </w:rPr>
      </w:pPr>
    </w:p>
    <w:p w:rsidR="00E47853" w:rsidRPr="004146B6" w:rsidRDefault="00E47853" w:rsidP="00445D1A">
      <w:pPr>
        <w:pStyle w:val="Heading3"/>
      </w:pPr>
      <w:r w:rsidRPr="004146B6">
        <w:t>Introduction</w:t>
      </w:r>
    </w:p>
    <w:p w:rsidR="00E47853" w:rsidRDefault="00BF7F2D" w:rsidP="00C02BAA">
      <w:pPr>
        <w:rPr>
          <w:rFonts w:asciiTheme="minorHAnsi" w:hAnsiTheme="minorHAnsi" w:cs="Arial"/>
        </w:rPr>
      </w:pPr>
      <w:r>
        <w:rPr>
          <w:rFonts w:asciiTheme="minorHAnsi" w:hAnsiTheme="minorHAnsi" w:cs="Arial"/>
        </w:rPr>
        <w:t>Preventing and controlling infection is recognised as an essential part of an effective response to AMR</w:t>
      </w:r>
      <w:r w:rsidR="00644FF2">
        <w:rPr>
          <w:rFonts w:asciiTheme="minorHAnsi" w:hAnsiTheme="minorHAnsi" w:cs="Arial"/>
        </w:rPr>
        <w:t xml:space="preserve">, </w:t>
      </w:r>
      <w:r w:rsidR="001F7E87">
        <w:rPr>
          <w:rFonts w:asciiTheme="minorHAnsi" w:hAnsiTheme="minorHAnsi" w:cs="Arial"/>
        </w:rPr>
        <w:t xml:space="preserve">particularly where there may be limited or no alternative antimicrobial treatments available. Effective infection prevention and control </w:t>
      </w:r>
      <w:r w:rsidR="00644FF2">
        <w:rPr>
          <w:rFonts w:asciiTheme="minorHAnsi" w:hAnsiTheme="minorHAnsi" w:cs="Arial"/>
        </w:rPr>
        <w:t xml:space="preserve">(IPC) </w:t>
      </w:r>
      <w:r w:rsidR="001F7E87">
        <w:rPr>
          <w:rFonts w:asciiTheme="minorHAnsi" w:hAnsiTheme="minorHAnsi" w:cs="Arial"/>
        </w:rPr>
        <w:t xml:space="preserve">measures such as hand hygiene, the use of personal protective equipment, equipment disinfection and environmental cleaning are essential. </w:t>
      </w:r>
      <w:r w:rsidR="00644FF2">
        <w:rPr>
          <w:rFonts w:asciiTheme="minorHAnsi" w:hAnsiTheme="minorHAnsi" w:cs="Arial"/>
        </w:rPr>
        <w:t>Improvement and expansion of implemented, evidence-based IPC measures across all sectors should be informed by surveillance data, and be appropriate to the risk of transmission.</w:t>
      </w:r>
    </w:p>
    <w:p w:rsidR="001F7E87" w:rsidRPr="001F7E87" w:rsidRDefault="001F7E87" w:rsidP="00C02BAA">
      <w:pPr>
        <w:rPr>
          <w:rFonts w:asciiTheme="minorHAnsi" w:hAnsiTheme="minorHAnsi" w:cs="Arial"/>
        </w:rPr>
      </w:pPr>
    </w:p>
    <w:p w:rsidR="00375CE8" w:rsidRPr="004146B6" w:rsidRDefault="002B63B6" w:rsidP="00445D1A">
      <w:pPr>
        <w:pStyle w:val="Heading3"/>
      </w:pPr>
      <w:r w:rsidRPr="004146B6">
        <w:t>What have we achieved?</w:t>
      </w:r>
    </w:p>
    <w:p w:rsidR="008663CD" w:rsidRPr="00AE0291" w:rsidRDefault="008663CD" w:rsidP="00445D1A">
      <w:pPr>
        <w:pStyle w:val="Heading4"/>
      </w:pPr>
      <w:r w:rsidRPr="00AE0291">
        <w:t>Human Health</w:t>
      </w:r>
    </w:p>
    <w:p w:rsidR="006C6661" w:rsidRDefault="006C6661" w:rsidP="006C6661">
      <w:pPr>
        <w:pStyle w:val="ListParagraph"/>
        <w:numPr>
          <w:ilvl w:val="0"/>
          <w:numId w:val="13"/>
        </w:numPr>
        <w:spacing w:after="120"/>
        <w:ind w:left="714" w:hanging="357"/>
        <w:contextualSpacing w:val="0"/>
        <w:rPr>
          <w:rFonts w:asciiTheme="minorHAnsi" w:eastAsia="Calibri" w:hAnsiTheme="minorHAnsi" w:cs="Arial"/>
        </w:rPr>
      </w:pPr>
      <w:r>
        <w:rPr>
          <w:rFonts w:asciiTheme="minorHAnsi" w:eastAsia="Calibri" w:hAnsiTheme="minorHAnsi" w:cs="Arial"/>
        </w:rPr>
        <w:t>T</w:t>
      </w:r>
      <w:r w:rsidRPr="00F85AA1">
        <w:rPr>
          <w:rFonts w:asciiTheme="minorHAnsi" w:eastAsia="Calibri" w:hAnsiTheme="minorHAnsi" w:cs="Arial"/>
        </w:rPr>
        <w:t>he</w:t>
      </w:r>
      <w:r>
        <w:rPr>
          <w:rFonts w:asciiTheme="minorHAnsi" w:eastAsia="Calibri" w:hAnsiTheme="minorHAnsi" w:cs="Arial"/>
        </w:rPr>
        <w:t xml:space="preserve"> </w:t>
      </w:r>
      <w:r w:rsidRPr="00F85AA1">
        <w:rPr>
          <w:rFonts w:asciiTheme="minorHAnsi" w:eastAsia="Calibri" w:hAnsiTheme="minorHAnsi" w:cs="Arial"/>
        </w:rPr>
        <w:t>national hand hygiene benchmark</w:t>
      </w:r>
      <w:r>
        <w:rPr>
          <w:rFonts w:asciiTheme="minorHAnsi" w:eastAsia="Calibri" w:hAnsiTheme="minorHAnsi" w:cs="Arial"/>
        </w:rPr>
        <w:t>,</w:t>
      </w:r>
      <w:r w:rsidRPr="00F85AA1">
        <w:rPr>
          <w:rFonts w:asciiTheme="minorHAnsi" w:eastAsia="Calibri" w:hAnsiTheme="minorHAnsi" w:cs="Arial"/>
        </w:rPr>
        <w:t xml:space="preserve"> </w:t>
      </w:r>
      <w:r>
        <w:rPr>
          <w:rFonts w:asciiTheme="minorHAnsi" w:eastAsia="Calibri" w:hAnsiTheme="minorHAnsi" w:cs="Arial"/>
        </w:rPr>
        <w:t xml:space="preserve">under the </w:t>
      </w:r>
      <w:r w:rsidRPr="00F85AA1">
        <w:rPr>
          <w:rFonts w:asciiTheme="minorHAnsi" w:eastAsia="Calibri" w:hAnsiTheme="minorHAnsi" w:cs="Arial"/>
        </w:rPr>
        <w:t>National Hand Hygiene Initiative</w:t>
      </w:r>
      <w:r>
        <w:rPr>
          <w:rFonts w:asciiTheme="minorHAnsi" w:eastAsia="Calibri" w:hAnsiTheme="minorHAnsi" w:cs="Arial"/>
        </w:rPr>
        <w:t>,</w:t>
      </w:r>
      <w:r w:rsidRPr="00F85AA1">
        <w:rPr>
          <w:rFonts w:asciiTheme="minorHAnsi" w:eastAsia="Calibri" w:hAnsiTheme="minorHAnsi" w:cs="Arial"/>
        </w:rPr>
        <w:t xml:space="preserve"> was increased to 75%</w:t>
      </w:r>
      <w:r>
        <w:rPr>
          <w:rFonts w:asciiTheme="minorHAnsi" w:eastAsia="Calibri" w:hAnsiTheme="minorHAnsi" w:cs="Arial"/>
        </w:rPr>
        <w:t xml:space="preserve"> in 2016</w:t>
      </w:r>
      <w:r w:rsidRPr="00F85AA1">
        <w:rPr>
          <w:rFonts w:asciiTheme="minorHAnsi" w:eastAsia="Calibri" w:hAnsiTheme="minorHAnsi" w:cs="Arial"/>
        </w:rPr>
        <w:t>, followed by an increase to 80% in 2017. All jurisdictions have shown strong leadership in implementing hospital hand hygiene guidelines</w:t>
      </w:r>
      <w:r w:rsidR="00EA3978">
        <w:rPr>
          <w:rFonts w:asciiTheme="minorHAnsi" w:eastAsia="Calibri" w:hAnsiTheme="minorHAnsi" w:cs="Arial"/>
        </w:rPr>
        <w:t>,</w:t>
      </w:r>
      <w:r w:rsidRPr="00F85AA1">
        <w:rPr>
          <w:rFonts w:asciiTheme="minorHAnsi" w:eastAsia="Calibri" w:hAnsiTheme="minorHAnsi" w:cs="Arial"/>
        </w:rPr>
        <w:t xml:space="preserve"> and compliance is consistently improving. In June 2017, based on data collected nationally from a total of 937 organisations from both the public and private sectors, the average compliance rate </w:t>
      </w:r>
      <w:r w:rsidR="00814305">
        <w:rPr>
          <w:rFonts w:asciiTheme="minorHAnsi" w:eastAsia="Calibri" w:hAnsiTheme="minorHAnsi" w:cs="Arial"/>
        </w:rPr>
        <w:t>wa</w:t>
      </w:r>
      <w:r w:rsidRPr="00F85AA1">
        <w:rPr>
          <w:rFonts w:asciiTheme="minorHAnsi" w:eastAsia="Calibri" w:hAnsiTheme="minorHAnsi" w:cs="Arial"/>
        </w:rPr>
        <w:t>s 84.3%.</w:t>
      </w:r>
    </w:p>
    <w:p w:rsidR="00125EE2" w:rsidRPr="00F85AA1" w:rsidRDefault="00125EE2" w:rsidP="00F85AA1">
      <w:pPr>
        <w:pStyle w:val="ListParagraph"/>
        <w:numPr>
          <w:ilvl w:val="0"/>
          <w:numId w:val="13"/>
        </w:numPr>
        <w:spacing w:after="120"/>
        <w:ind w:left="714" w:hanging="357"/>
        <w:contextualSpacing w:val="0"/>
        <w:rPr>
          <w:rFonts w:asciiTheme="minorHAnsi" w:eastAsia="Calibri" w:hAnsiTheme="minorHAnsi" w:cs="Arial"/>
        </w:rPr>
      </w:pPr>
      <w:r w:rsidRPr="00F85AA1">
        <w:rPr>
          <w:rFonts w:asciiTheme="minorHAnsi" w:eastAsia="Calibri" w:hAnsiTheme="minorHAnsi" w:cs="Arial"/>
        </w:rPr>
        <w:t xml:space="preserve">The </w:t>
      </w:r>
      <w:r w:rsidRPr="00BE4F42">
        <w:rPr>
          <w:rFonts w:asciiTheme="minorHAnsi" w:eastAsia="Calibri" w:hAnsiTheme="minorHAnsi" w:cs="Arial"/>
          <w:i/>
        </w:rPr>
        <w:t>Australian</w:t>
      </w:r>
      <w:r w:rsidRPr="00F85AA1">
        <w:rPr>
          <w:rFonts w:asciiTheme="minorHAnsi" w:eastAsia="Calibri" w:hAnsiTheme="minorHAnsi" w:cs="Arial"/>
        </w:rPr>
        <w:t xml:space="preserve"> </w:t>
      </w:r>
      <w:r w:rsidRPr="00EA3978">
        <w:rPr>
          <w:rFonts w:asciiTheme="minorHAnsi" w:eastAsia="Calibri" w:hAnsiTheme="minorHAnsi" w:cs="Arial"/>
          <w:i/>
        </w:rPr>
        <w:t>Guidelines for the Prevention and Control of Infection in Healthcare</w:t>
      </w:r>
      <w:r w:rsidRPr="00F85AA1">
        <w:rPr>
          <w:rFonts w:asciiTheme="minorHAnsi" w:eastAsia="Calibri" w:hAnsiTheme="minorHAnsi" w:cs="Arial"/>
        </w:rPr>
        <w:t xml:space="preserve"> were developed in 2010 to provide a coordinated approach to the prevention and management of </w:t>
      </w:r>
      <w:r w:rsidR="00EA3978">
        <w:rPr>
          <w:rFonts w:asciiTheme="minorHAnsi" w:eastAsia="Calibri" w:hAnsiTheme="minorHAnsi" w:cs="Arial"/>
        </w:rPr>
        <w:t>h</w:t>
      </w:r>
      <w:r w:rsidRPr="00F85AA1">
        <w:rPr>
          <w:rFonts w:asciiTheme="minorHAnsi" w:eastAsia="Calibri" w:hAnsiTheme="minorHAnsi" w:cs="Arial"/>
        </w:rPr>
        <w:t>ealthcare</w:t>
      </w:r>
      <w:r w:rsidR="00EA3978">
        <w:rPr>
          <w:rFonts w:asciiTheme="minorHAnsi" w:eastAsia="Calibri" w:hAnsiTheme="minorHAnsi" w:cs="Arial"/>
        </w:rPr>
        <w:t>-a</w:t>
      </w:r>
      <w:r w:rsidRPr="00F85AA1">
        <w:rPr>
          <w:rFonts w:asciiTheme="minorHAnsi" w:eastAsia="Calibri" w:hAnsiTheme="minorHAnsi" w:cs="Arial"/>
        </w:rPr>
        <w:t xml:space="preserve">ssociated </w:t>
      </w:r>
      <w:r w:rsidR="00EA3978">
        <w:rPr>
          <w:rFonts w:asciiTheme="minorHAnsi" w:eastAsia="Calibri" w:hAnsiTheme="minorHAnsi" w:cs="Arial"/>
        </w:rPr>
        <w:t>i</w:t>
      </w:r>
      <w:r w:rsidRPr="00F85AA1">
        <w:rPr>
          <w:rFonts w:asciiTheme="minorHAnsi" w:eastAsia="Calibri" w:hAnsiTheme="minorHAnsi" w:cs="Arial"/>
        </w:rPr>
        <w:t>nfections in Australia. The National Health and Medical Research Council</w:t>
      </w:r>
      <w:r w:rsidR="00EA3978">
        <w:rPr>
          <w:rFonts w:asciiTheme="minorHAnsi" w:eastAsia="Calibri" w:hAnsiTheme="minorHAnsi" w:cs="Arial"/>
        </w:rPr>
        <w:t>,</w:t>
      </w:r>
      <w:r w:rsidRPr="00F85AA1">
        <w:rPr>
          <w:rFonts w:asciiTheme="minorHAnsi" w:eastAsia="Calibri" w:hAnsiTheme="minorHAnsi" w:cs="Arial"/>
        </w:rPr>
        <w:t xml:space="preserve"> in collaboration with the </w:t>
      </w:r>
      <w:r w:rsidR="00336D51">
        <w:rPr>
          <w:rFonts w:asciiTheme="minorHAnsi" w:eastAsia="Calibri" w:hAnsiTheme="minorHAnsi" w:cs="Arial"/>
        </w:rPr>
        <w:t>Australian Commission on Safety and Quality in Health Care (</w:t>
      </w:r>
      <w:r w:rsidR="00EA3978">
        <w:rPr>
          <w:rFonts w:asciiTheme="minorHAnsi" w:eastAsia="Calibri" w:hAnsiTheme="minorHAnsi" w:cs="Arial"/>
        </w:rPr>
        <w:t>the Commission</w:t>
      </w:r>
      <w:r w:rsidR="00336D51">
        <w:rPr>
          <w:rFonts w:asciiTheme="minorHAnsi" w:eastAsia="Calibri" w:hAnsiTheme="minorHAnsi" w:cs="Arial"/>
        </w:rPr>
        <w:t xml:space="preserve">) </w:t>
      </w:r>
      <w:r w:rsidRPr="00F85AA1">
        <w:rPr>
          <w:rFonts w:asciiTheme="minorHAnsi" w:eastAsia="Calibri" w:hAnsiTheme="minorHAnsi" w:cs="Arial"/>
        </w:rPr>
        <w:t xml:space="preserve">are </w:t>
      </w:r>
      <w:r w:rsidR="00042D84">
        <w:rPr>
          <w:rFonts w:asciiTheme="minorHAnsi" w:eastAsia="Calibri" w:hAnsiTheme="minorHAnsi" w:cs="Arial"/>
        </w:rPr>
        <w:t xml:space="preserve">reviewing </w:t>
      </w:r>
      <w:r w:rsidRPr="00F85AA1">
        <w:rPr>
          <w:rFonts w:asciiTheme="minorHAnsi" w:eastAsia="Calibri" w:hAnsiTheme="minorHAnsi" w:cs="Arial"/>
        </w:rPr>
        <w:t>the Guidelines to ensure it reflects the best available evidence and is current and relevant for the Australian context. The update is expected to be completed in late 2018.</w:t>
      </w:r>
    </w:p>
    <w:p w:rsidR="00DD652B" w:rsidRPr="00F85AA1" w:rsidRDefault="00B52E8B" w:rsidP="00F85AA1">
      <w:pPr>
        <w:pStyle w:val="ListParagraph"/>
        <w:numPr>
          <w:ilvl w:val="0"/>
          <w:numId w:val="13"/>
        </w:numPr>
        <w:spacing w:after="120"/>
        <w:ind w:left="714" w:hanging="357"/>
        <w:contextualSpacing w:val="0"/>
        <w:rPr>
          <w:rFonts w:asciiTheme="minorHAnsi" w:eastAsia="Calibri" w:hAnsiTheme="minorHAnsi" w:cs="Arial"/>
        </w:rPr>
      </w:pPr>
      <w:r w:rsidRPr="00F85AA1">
        <w:rPr>
          <w:rFonts w:asciiTheme="minorHAnsi" w:eastAsia="Calibri" w:hAnsiTheme="minorHAnsi" w:cs="Arial"/>
        </w:rPr>
        <w:t xml:space="preserve">The </w:t>
      </w:r>
      <w:r w:rsidR="00EE009E">
        <w:rPr>
          <w:rFonts w:asciiTheme="minorHAnsi" w:eastAsia="Calibri" w:hAnsiTheme="minorHAnsi" w:cs="Arial"/>
        </w:rPr>
        <w:t xml:space="preserve">second edition of the </w:t>
      </w:r>
      <w:r w:rsidRPr="00F85AA1">
        <w:rPr>
          <w:rFonts w:asciiTheme="minorHAnsi" w:eastAsia="Calibri" w:hAnsiTheme="minorHAnsi" w:cs="Arial"/>
        </w:rPr>
        <w:t>N</w:t>
      </w:r>
      <w:r w:rsidR="009E442E">
        <w:rPr>
          <w:rFonts w:asciiTheme="minorHAnsi" w:eastAsia="Calibri" w:hAnsiTheme="minorHAnsi" w:cs="Arial"/>
        </w:rPr>
        <w:t xml:space="preserve">ational </w:t>
      </w:r>
      <w:r w:rsidRPr="00F85AA1">
        <w:rPr>
          <w:rFonts w:asciiTheme="minorHAnsi" w:eastAsia="Calibri" w:hAnsiTheme="minorHAnsi" w:cs="Arial"/>
        </w:rPr>
        <w:t>S</w:t>
      </w:r>
      <w:r w:rsidR="009E442E">
        <w:rPr>
          <w:rFonts w:asciiTheme="minorHAnsi" w:eastAsia="Calibri" w:hAnsiTheme="minorHAnsi" w:cs="Arial"/>
        </w:rPr>
        <w:t xml:space="preserve">afety and </w:t>
      </w:r>
      <w:r w:rsidRPr="00F85AA1">
        <w:rPr>
          <w:rFonts w:asciiTheme="minorHAnsi" w:eastAsia="Calibri" w:hAnsiTheme="minorHAnsi" w:cs="Arial"/>
        </w:rPr>
        <w:t>Q</w:t>
      </w:r>
      <w:r w:rsidR="009E442E">
        <w:rPr>
          <w:rFonts w:asciiTheme="minorHAnsi" w:eastAsia="Calibri" w:hAnsiTheme="minorHAnsi" w:cs="Arial"/>
        </w:rPr>
        <w:t xml:space="preserve">uality </w:t>
      </w:r>
      <w:r w:rsidRPr="00F85AA1">
        <w:rPr>
          <w:rFonts w:asciiTheme="minorHAnsi" w:eastAsia="Calibri" w:hAnsiTheme="minorHAnsi" w:cs="Arial"/>
        </w:rPr>
        <w:t>H</w:t>
      </w:r>
      <w:r w:rsidR="009E442E">
        <w:rPr>
          <w:rFonts w:asciiTheme="minorHAnsi" w:eastAsia="Calibri" w:hAnsiTheme="minorHAnsi" w:cs="Arial"/>
        </w:rPr>
        <w:t xml:space="preserve">ealth </w:t>
      </w:r>
      <w:r w:rsidRPr="00F85AA1">
        <w:rPr>
          <w:rFonts w:asciiTheme="minorHAnsi" w:eastAsia="Calibri" w:hAnsiTheme="minorHAnsi" w:cs="Arial"/>
        </w:rPr>
        <w:t>S</w:t>
      </w:r>
      <w:r w:rsidR="009E442E">
        <w:rPr>
          <w:rFonts w:asciiTheme="minorHAnsi" w:eastAsia="Calibri" w:hAnsiTheme="minorHAnsi" w:cs="Arial"/>
        </w:rPr>
        <w:t>ervice (NSQHS)</w:t>
      </w:r>
      <w:r w:rsidRPr="00F85AA1">
        <w:rPr>
          <w:rFonts w:asciiTheme="minorHAnsi" w:eastAsia="Calibri" w:hAnsiTheme="minorHAnsi" w:cs="Arial"/>
        </w:rPr>
        <w:t xml:space="preserve"> </w:t>
      </w:r>
      <w:r w:rsidR="00EE009E">
        <w:rPr>
          <w:rFonts w:asciiTheme="minorHAnsi" w:eastAsia="Calibri" w:hAnsiTheme="minorHAnsi" w:cs="Arial"/>
        </w:rPr>
        <w:t xml:space="preserve">Standards, which includes </w:t>
      </w:r>
      <w:r w:rsidRPr="00BE4F42">
        <w:rPr>
          <w:rFonts w:asciiTheme="minorHAnsi" w:eastAsia="Calibri" w:hAnsiTheme="minorHAnsi" w:cs="Arial"/>
          <w:i/>
        </w:rPr>
        <w:t xml:space="preserve">Standard 3: Preventing and Controlling </w:t>
      </w:r>
      <w:r w:rsidR="00EA3978" w:rsidRPr="00BE4F42">
        <w:rPr>
          <w:rFonts w:asciiTheme="minorHAnsi" w:eastAsia="Calibri" w:hAnsiTheme="minorHAnsi" w:cs="Arial"/>
          <w:i/>
        </w:rPr>
        <w:t>Healthcare-</w:t>
      </w:r>
      <w:r w:rsidR="00BE4F42" w:rsidRPr="00BE4F42">
        <w:rPr>
          <w:rFonts w:asciiTheme="minorHAnsi" w:eastAsia="Calibri" w:hAnsiTheme="minorHAnsi" w:cs="Arial"/>
          <w:i/>
        </w:rPr>
        <w:t>Associated</w:t>
      </w:r>
      <w:r w:rsidR="00EA3978" w:rsidRPr="00BE4F42">
        <w:rPr>
          <w:rFonts w:asciiTheme="minorHAnsi" w:eastAsia="Calibri" w:hAnsiTheme="minorHAnsi" w:cs="Arial"/>
          <w:i/>
        </w:rPr>
        <w:t xml:space="preserve"> Infections</w:t>
      </w:r>
      <w:r w:rsidR="00EE009E">
        <w:rPr>
          <w:rFonts w:asciiTheme="minorHAnsi" w:eastAsia="Calibri" w:hAnsiTheme="minorHAnsi" w:cs="Arial"/>
        </w:rPr>
        <w:t xml:space="preserve">, will </w:t>
      </w:r>
      <w:r w:rsidR="004344C5" w:rsidRPr="00F85AA1">
        <w:rPr>
          <w:rFonts w:asciiTheme="minorHAnsi" w:eastAsia="Calibri" w:hAnsiTheme="minorHAnsi" w:cs="Arial"/>
        </w:rPr>
        <w:t>be released in November 2017, with assessment</w:t>
      </w:r>
      <w:r w:rsidR="00BE4F42">
        <w:rPr>
          <w:rFonts w:asciiTheme="minorHAnsi" w:eastAsia="Calibri" w:hAnsiTheme="minorHAnsi" w:cs="Arial"/>
        </w:rPr>
        <w:t>s against the Standards</w:t>
      </w:r>
      <w:r w:rsidR="004344C5" w:rsidRPr="00F85AA1">
        <w:rPr>
          <w:rFonts w:asciiTheme="minorHAnsi" w:eastAsia="Calibri" w:hAnsiTheme="minorHAnsi" w:cs="Arial"/>
        </w:rPr>
        <w:t xml:space="preserve"> to commence from January 2019. The </w:t>
      </w:r>
      <w:r w:rsidR="00EA3978">
        <w:rPr>
          <w:rFonts w:asciiTheme="minorHAnsi" w:eastAsia="Calibri" w:hAnsiTheme="minorHAnsi" w:cs="Arial"/>
        </w:rPr>
        <w:t>Commission</w:t>
      </w:r>
      <w:r w:rsidR="00EA3978" w:rsidRPr="00F85AA1">
        <w:rPr>
          <w:rFonts w:asciiTheme="minorHAnsi" w:eastAsia="Calibri" w:hAnsiTheme="minorHAnsi" w:cs="Arial"/>
        </w:rPr>
        <w:t xml:space="preserve"> </w:t>
      </w:r>
      <w:r w:rsidR="008453D6">
        <w:rPr>
          <w:rFonts w:asciiTheme="minorHAnsi" w:eastAsia="Calibri" w:hAnsiTheme="minorHAnsi" w:cs="Arial"/>
        </w:rPr>
        <w:t>has</w:t>
      </w:r>
      <w:r w:rsidR="004344C5" w:rsidRPr="00F85AA1">
        <w:rPr>
          <w:rFonts w:asciiTheme="minorHAnsi" w:eastAsia="Calibri" w:hAnsiTheme="minorHAnsi" w:cs="Arial"/>
        </w:rPr>
        <w:t xml:space="preserve"> </w:t>
      </w:r>
      <w:r w:rsidR="00EE009E">
        <w:rPr>
          <w:rFonts w:asciiTheme="minorHAnsi" w:eastAsia="Calibri" w:hAnsiTheme="minorHAnsi" w:cs="Arial"/>
        </w:rPr>
        <w:t>r</w:t>
      </w:r>
      <w:r w:rsidR="00E47C80" w:rsidRPr="00F85AA1">
        <w:rPr>
          <w:rFonts w:asciiTheme="minorHAnsi" w:eastAsia="Calibri" w:hAnsiTheme="minorHAnsi" w:cs="Arial"/>
        </w:rPr>
        <w:t>elease</w:t>
      </w:r>
      <w:r w:rsidR="000D734D" w:rsidRPr="00F85AA1">
        <w:rPr>
          <w:rFonts w:asciiTheme="minorHAnsi" w:eastAsia="Calibri" w:hAnsiTheme="minorHAnsi" w:cs="Arial"/>
        </w:rPr>
        <w:t>d</w:t>
      </w:r>
      <w:r w:rsidR="00E47C80" w:rsidRPr="00F85AA1">
        <w:rPr>
          <w:rFonts w:asciiTheme="minorHAnsi" w:eastAsia="Calibri" w:hAnsiTheme="minorHAnsi" w:cs="Arial"/>
        </w:rPr>
        <w:t xml:space="preserve"> </w:t>
      </w:r>
      <w:r w:rsidR="00EE009E">
        <w:rPr>
          <w:rFonts w:asciiTheme="minorHAnsi" w:eastAsia="Calibri" w:hAnsiTheme="minorHAnsi" w:cs="Arial"/>
        </w:rPr>
        <w:t xml:space="preserve">a range of </w:t>
      </w:r>
      <w:r w:rsidR="004344C5" w:rsidRPr="00F85AA1">
        <w:rPr>
          <w:rFonts w:asciiTheme="minorHAnsi" w:eastAsia="Calibri" w:hAnsiTheme="minorHAnsi" w:cs="Arial"/>
        </w:rPr>
        <w:t xml:space="preserve">resources to support health service organisations to implement and prepare for assessment </w:t>
      </w:r>
      <w:r w:rsidR="00EA3978">
        <w:rPr>
          <w:rFonts w:asciiTheme="minorHAnsi" w:eastAsia="Calibri" w:hAnsiTheme="minorHAnsi" w:cs="Arial"/>
        </w:rPr>
        <w:t>against</w:t>
      </w:r>
      <w:r w:rsidR="004344C5" w:rsidRPr="00F85AA1">
        <w:rPr>
          <w:rFonts w:asciiTheme="minorHAnsi" w:eastAsia="Calibri" w:hAnsiTheme="minorHAnsi" w:cs="Arial"/>
        </w:rPr>
        <w:t xml:space="preserve"> the </w:t>
      </w:r>
      <w:r w:rsidR="00EE009E">
        <w:rPr>
          <w:rFonts w:asciiTheme="minorHAnsi" w:eastAsia="Calibri" w:hAnsiTheme="minorHAnsi" w:cs="Arial"/>
        </w:rPr>
        <w:t xml:space="preserve">revised </w:t>
      </w:r>
      <w:r w:rsidR="004344C5" w:rsidRPr="00F85AA1">
        <w:rPr>
          <w:rFonts w:asciiTheme="minorHAnsi" w:eastAsia="Calibri" w:hAnsiTheme="minorHAnsi" w:cs="Arial"/>
        </w:rPr>
        <w:t>Standards</w:t>
      </w:r>
      <w:r w:rsidR="00EE009E">
        <w:rPr>
          <w:rFonts w:asciiTheme="minorHAnsi" w:eastAsia="Calibri" w:hAnsiTheme="minorHAnsi" w:cs="Arial"/>
        </w:rPr>
        <w:t>.</w:t>
      </w:r>
    </w:p>
    <w:p w:rsidR="00BE4F42" w:rsidRDefault="00DD74B3" w:rsidP="00F85AA1">
      <w:pPr>
        <w:pStyle w:val="ListParagraph"/>
        <w:numPr>
          <w:ilvl w:val="0"/>
          <w:numId w:val="13"/>
        </w:numPr>
        <w:spacing w:after="120"/>
        <w:ind w:left="714" w:hanging="357"/>
        <w:contextualSpacing w:val="0"/>
        <w:rPr>
          <w:rFonts w:asciiTheme="minorHAnsi" w:eastAsia="Calibri" w:hAnsiTheme="minorHAnsi" w:cs="Arial"/>
        </w:rPr>
      </w:pPr>
      <w:r w:rsidRPr="00F85AA1">
        <w:rPr>
          <w:rFonts w:asciiTheme="minorHAnsi" w:eastAsia="Calibri" w:hAnsiTheme="minorHAnsi" w:cs="Arial"/>
        </w:rPr>
        <w:t xml:space="preserve">The </w:t>
      </w:r>
      <w:r w:rsidR="00BE4F42">
        <w:rPr>
          <w:rFonts w:asciiTheme="minorHAnsi" w:eastAsia="Calibri" w:hAnsiTheme="minorHAnsi" w:cs="Arial"/>
        </w:rPr>
        <w:t>Commission</w:t>
      </w:r>
      <w:r w:rsidR="00BE4F42" w:rsidRPr="00F85AA1">
        <w:rPr>
          <w:rFonts w:asciiTheme="minorHAnsi" w:eastAsia="Calibri" w:hAnsiTheme="minorHAnsi" w:cs="Arial"/>
        </w:rPr>
        <w:t xml:space="preserve"> </w:t>
      </w:r>
      <w:r w:rsidRPr="00F85AA1">
        <w:rPr>
          <w:rFonts w:asciiTheme="minorHAnsi" w:eastAsia="Calibri" w:hAnsiTheme="minorHAnsi" w:cs="Arial"/>
        </w:rPr>
        <w:t>worked in partn</w:t>
      </w:r>
      <w:r w:rsidR="00FC3A1C">
        <w:rPr>
          <w:rFonts w:asciiTheme="minorHAnsi" w:eastAsia="Calibri" w:hAnsiTheme="minorHAnsi" w:cs="Arial"/>
        </w:rPr>
        <w:t>ership with the Austral</w:t>
      </w:r>
      <w:r w:rsidR="00DE696C">
        <w:rPr>
          <w:rFonts w:asciiTheme="minorHAnsi" w:eastAsia="Calibri" w:hAnsiTheme="minorHAnsi" w:cs="Arial"/>
        </w:rPr>
        <w:t>as</w:t>
      </w:r>
      <w:r w:rsidRPr="00F85AA1">
        <w:rPr>
          <w:rFonts w:asciiTheme="minorHAnsi" w:eastAsia="Calibri" w:hAnsiTheme="minorHAnsi" w:cs="Arial"/>
        </w:rPr>
        <w:t xml:space="preserve">ian Society </w:t>
      </w:r>
      <w:r w:rsidR="00BE4F42">
        <w:rPr>
          <w:rFonts w:asciiTheme="minorHAnsi" w:eastAsia="Calibri" w:hAnsiTheme="minorHAnsi" w:cs="Arial"/>
        </w:rPr>
        <w:t>for</w:t>
      </w:r>
      <w:r w:rsidR="00B52E8B" w:rsidRPr="00F85AA1">
        <w:rPr>
          <w:rFonts w:asciiTheme="minorHAnsi" w:eastAsia="Calibri" w:hAnsiTheme="minorHAnsi" w:cs="Arial"/>
        </w:rPr>
        <w:t xml:space="preserve"> </w:t>
      </w:r>
      <w:r w:rsidRPr="00F85AA1">
        <w:rPr>
          <w:rFonts w:asciiTheme="minorHAnsi" w:eastAsia="Calibri" w:hAnsiTheme="minorHAnsi" w:cs="Arial"/>
        </w:rPr>
        <w:t xml:space="preserve">Infectious Diseases, Australasian College </w:t>
      </w:r>
      <w:r w:rsidR="00BE4F42">
        <w:rPr>
          <w:rFonts w:asciiTheme="minorHAnsi" w:eastAsia="Calibri" w:hAnsiTheme="minorHAnsi" w:cs="Arial"/>
        </w:rPr>
        <w:t>for</w:t>
      </w:r>
      <w:r w:rsidRPr="00F85AA1">
        <w:rPr>
          <w:rFonts w:asciiTheme="minorHAnsi" w:eastAsia="Calibri" w:hAnsiTheme="minorHAnsi" w:cs="Arial"/>
        </w:rPr>
        <w:t xml:space="preserve"> Infection Prevention and Control, Public Health Laboratory Network and Austral</w:t>
      </w:r>
      <w:r w:rsidR="00BE4F42">
        <w:rPr>
          <w:rFonts w:asciiTheme="minorHAnsi" w:eastAsia="Calibri" w:hAnsiTheme="minorHAnsi" w:cs="Arial"/>
        </w:rPr>
        <w:t>ian</w:t>
      </w:r>
      <w:r w:rsidRPr="00F85AA1">
        <w:rPr>
          <w:rFonts w:asciiTheme="minorHAnsi" w:eastAsia="Calibri" w:hAnsiTheme="minorHAnsi" w:cs="Arial"/>
        </w:rPr>
        <w:t xml:space="preserve"> Society of Antimicrobials to develop recommendations for the management and testing of patients with </w:t>
      </w:r>
      <w:r w:rsidR="00A8666A" w:rsidRPr="00F85AA1">
        <w:rPr>
          <w:rFonts w:asciiTheme="minorHAnsi" w:eastAsia="Calibri" w:hAnsiTheme="minorHAnsi" w:cs="Arial"/>
        </w:rPr>
        <w:t>carbapenem</w:t>
      </w:r>
      <w:r w:rsidR="00BE4F42">
        <w:rPr>
          <w:rFonts w:asciiTheme="minorHAnsi" w:eastAsia="Calibri" w:hAnsiTheme="minorHAnsi" w:cs="Arial"/>
        </w:rPr>
        <w:t>-</w:t>
      </w:r>
      <w:r w:rsidR="00A8666A" w:rsidRPr="00F85AA1">
        <w:rPr>
          <w:rFonts w:asciiTheme="minorHAnsi" w:eastAsia="Calibri" w:hAnsiTheme="minorHAnsi" w:cs="Arial"/>
        </w:rPr>
        <w:t>resistant Enterobacteriaceae (</w:t>
      </w:r>
      <w:r w:rsidRPr="00F85AA1">
        <w:rPr>
          <w:rFonts w:asciiTheme="minorHAnsi" w:eastAsia="Calibri" w:hAnsiTheme="minorHAnsi" w:cs="Arial"/>
        </w:rPr>
        <w:t>CRE</w:t>
      </w:r>
      <w:r w:rsidR="00A8666A" w:rsidRPr="00F85AA1">
        <w:rPr>
          <w:rFonts w:asciiTheme="minorHAnsi" w:eastAsia="Calibri" w:hAnsiTheme="minorHAnsi" w:cs="Arial"/>
        </w:rPr>
        <w:t>)</w:t>
      </w:r>
      <w:r w:rsidRPr="00F85AA1">
        <w:rPr>
          <w:rFonts w:asciiTheme="minorHAnsi" w:eastAsia="Calibri" w:hAnsiTheme="minorHAnsi" w:cs="Arial"/>
        </w:rPr>
        <w:t>.</w:t>
      </w:r>
      <w:r w:rsidR="00B52E8B" w:rsidRPr="00F85AA1">
        <w:rPr>
          <w:rFonts w:asciiTheme="minorHAnsi" w:eastAsia="Calibri" w:hAnsiTheme="minorHAnsi" w:cs="Arial"/>
        </w:rPr>
        <w:t xml:space="preserve"> The </w:t>
      </w:r>
      <w:r w:rsidR="00B52E8B" w:rsidRPr="00EE009E">
        <w:rPr>
          <w:rFonts w:asciiTheme="minorHAnsi" w:eastAsia="Calibri" w:hAnsiTheme="minorHAnsi" w:cs="Arial"/>
          <w:i/>
        </w:rPr>
        <w:t>Recommendations for the control of carbapenemase-producing Enterobacteriaceae – A guide for acute care health facilities</w:t>
      </w:r>
      <w:r w:rsidR="00B52E8B" w:rsidRPr="00F85AA1">
        <w:rPr>
          <w:rFonts w:asciiTheme="minorHAnsi" w:eastAsia="Calibri" w:hAnsiTheme="minorHAnsi" w:cs="Arial"/>
        </w:rPr>
        <w:t xml:space="preserve"> was released in May 2017.</w:t>
      </w:r>
    </w:p>
    <w:p w:rsidR="00BE4F42" w:rsidRDefault="00BE4F42">
      <w:pPr>
        <w:rPr>
          <w:rFonts w:asciiTheme="minorHAnsi" w:eastAsia="Calibri" w:hAnsiTheme="minorHAnsi" w:cs="Arial"/>
        </w:rPr>
      </w:pPr>
      <w:r>
        <w:rPr>
          <w:rFonts w:asciiTheme="minorHAnsi" w:eastAsia="Calibri" w:hAnsiTheme="minorHAnsi" w:cs="Arial"/>
        </w:rPr>
        <w:br w:type="page"/>
      </w:r>
    </w:p>
    <w:p w:rsidR="00790B40" w:rsidRPr="00BE4F42" w:rsidRDefault="00BE4F42" w:rsidP="00C579B6">
      <w:pPr>
        <w:pStyle w:val="ListParagraph"/>
        <w:numPr>
          <w:ilvl w:val="0"/>
          <w:numId w:val="19"/>
        </w:numPr>
        <w:spacing w:after="120"/>
        <w:ind w:hanging="357"/>
        <w:contextualSpacing w:val="0"/>
        <w:rPr>
          <w:rFonts w:asciiTheme="minorHAnsi" w:hAnsiTheme="minorHAnsi" w:cs="Arial"/>
        </w:rPr>
      </w:pPr>
      <w:r>
        <w:rPr>
          <w:rFonts w:asciiTheme="minorHAnsi" w:hAnsiTheme="minorHAnsi" w:cs="Arial"/>
        </w:rPr>
        <w:lastRenderedPageBreak/>
        <w:t xml:space="preserve">The </w:t>
      </w:r>
      <w:r w:rsidR="00790B40" w:rsidRPr="00BE4F42">
        <w:rPr>
          <w:rFonts w:asciiTheme="minorHAnsi" w:hAnsiTheme="minorHAnsi" w:cs="Arial"/>
        </w:rPr>
        <w:t>Queensland University of Technology</w:t>
      </w:r>
      <w:r w:rsidR="00EE009E" w:rsidRPr="00BE4F42">
        <w:rPr>
          <w:rFonts w:asciiTheme="minorHAnsi" w:hAnsiTheme="minorHAnsi" w:cs="Arial"/>
        </w:rPr>
        <w:t xml:space="preserve"> has completed the intervention phase of a randomised controlled trial of a novel cleaning bundle intervention to improve cleaning performance and reduce </w:t>
      </w:r>
      <w:r>
        <w:rPr>
          <w:rFonts w:asciiTheme="minorHAnsi" w:hAnsiTheme="minorHAnsi" w:cs="Arial"/>
        </w:rPr>
        <w:t xml:space="preserve">the </w:t>
      </w:r>
      <w:r w:rsidR="00EE009E" w:rsidRPr="00BE4F42">
        <w:rPr>
          <w:rFonts w:asciiTheme="minorHAnsi" w:hAnsiTheme="minorHAnsi" w:cs="Arial"/>
        </w:rPr>
        <w:t xml:space="preserve">risk of infection in Australian hospitals. </w:t>
      </w:r>
      <w:r w:rsidR="00790B40" w:rsidRPr="00BE4F42">
        <w:rPr>
          <w:rFonts w:asciiTheme="minorHAnsi" w:hAnsiTheme="minorHAnsi" w:cs="Arial"/>
        </w:rPr>
        <w:t xml:space="preserve">The </w:t>
      </w:r>
      <w:r w:rsidR="000D734D" w:rsidRPr="00BE4F42">
        <w:rPr>
          <w:rFonts w:asciiTheme="minorHAnsi" w:hAnsiTheme="minorHAnsi" w:cs="Arial"/>
        </w:rPr>
        <w:t>a</w:t>
      </w:r>
      <w:r w:rsidR="00790B40" w:rsidRPr="00BE4F42">
        <w:rPr>
          <w:rFonts w:asciiTheme="minorHAnsi" w:hAnsiTheme="minorHAnsi" w:cs="Arial"/>
        </w:rPr>
        <w:t>nalys</w:t>
      </w:r>
      <w:r w:rsidR="00EE009E" w:rsidRPr="00BE4F42">
        <w:rPr>
          <w:rFonts w:asciiTheme="minorHAnsi" w:hAnsiTheme="minorHAnsi" w:cs="Arial"/>
        </w:rPr>
        <w:t xml:space="preserve">is of data will occur </w:t>
      </w:r>
      <w:r w:rsidR="008C1948">
        <w:rPr>
          <w:rFonts w:asciiTheme="minorHAnsi" w:hAnsiTheme="minorHAnsi" w:cs="Arial"/>
        </w:rPr>
        <w:t xml:space="preserve">in </w:t>
      </w:r>
      <w:r w:rsidR="00EE009E" w:rsidRPr="00BE4F42">
        <w:rPr>
          <w:rFonts w:asciiTheme="minorHAnsi" w:hAnsiTheme="minorHAnsi" w:cs="Arial"/>
        </w:rPr>
        <w:t>late 2017 and will inform hospital cleaning policies.</w:t>
      </w:r>
    </w:p>
    <w:p w:rsidR="003871EF" w:rsidRPr="008E5DBF" w:rsidRDefault="008E5DBF" w:rsidP="00AD1DE6">
      <w:pPr>
        <w:pStyle w:val="ListParagraph"/>
        <w:numPr>
          <w:ilvl w:val="0"/>
          <w:numId w:val="21"/>
        </w:numPr>
        <w:spacing w:after="120"/>
        <w:rPr>
          <w:rFonts w:asciiTheme="minorHAnsi" w:hAnsiTheme="minorHAnsi" w:cs="Arial"/>
          <w:b/>
        </w:rPr>
      </w:pPr>
      <w:r w:rsidRPr="00C579B6">
        <w:rPr>
          <w:rFonts w:asciiTheme="minorHAnsi" w:hAnsiTheme="minorHAnsi" w:cs="Arial"/>
          <w:iCs/>
        </w:rPr>
        <w:t>The Microbiological Diagnostic Unit Public Health Laboratory at the University of</w:t>
      </w:r>
      <w:r w:rsidRPr="008E5DBF">
        <w:rPr>
          <w:rFonts w:asciiTheme="minorHAnsi" w:hAnsiTheme="minorHAnsi" w:cs="Arial"/>
        </w:rPr>
        <w:t xml:space="preserve"> Melbourne has undertaken a number of activities to guide IPC in human health care facilities, including </w:t>
      </w:r>
      <w:r w:rsidRPr="008E5DBF">
        <w:rPr>
          <w:rFonts w:asciiTheme="minorHAnsi" w:hAnsiTheme="minorHAnsi"/>
        </w:rPr>
        <w:t>defining prevalence and characteristics of multi-drug resistant organisms and the role of genomics in identifying and preventing transmission</w:t>
      </w:r>
      <w:r w:rsidR="00BE4F42">
        <w:rPr>
          <w:rFonts w:ascii="Helvetica" w:hAnsi="Helvetica" w:cs="Helvetica"/>
          <w:color w:val="000000"/>
          <w:spacing w:val="3"/>
          <w:shd w:val="clear" w:color="auto" w:fill="FFFFFF"/>
        </w:rPr>
        <w:t>,</w:t>
      </w:r>
      <w:r w:rsidRPr="008E5DBF">
        <w:rPr>
          <w:rFonts w:ascii="Helvetica" w:hAnsi="Helvetica" w:cs="Helvetica"/>
          <w:color w:val="000000"/>
          <w:spacing w:val="3"/>
          <w:shd w:val="clear" w:color="auto" w:fill="FFFFFF"/>
        </w:rPr>
        <w:t xml:space="preserve"> </w:t>
      </w:r>
      <w:r w:rsidRPr="008E5DBF">
        <w:rPr>
          <w:rFonts w:asciiTheme="minorHAnsi" w:hAnsiTheme="minorHAnsi"/>
        </w:rPr>
        <w:t>and</w:t>
      </w:r>
      <w:r>
        <w:rPr>
          <w:rFonts w:asciiTheme="minorHAnsi" w:hAnsiTheme="minorHAnsi"/>
        </w:rPr>
        <w:t xml:space="preserve"> </w:t>
      </w:r>
      <w:r w:rsidRPr="008E5DBF">
        <w:rPr>
          <w:rFonts w:asciiTheme="minorHAnsi" w:hAnsiTheme="minorHAnsi"/>
        </w:rPr>
        <w:t>enhancing capacity for outbreak detection and source tracking</w:t>
      </w:r>
      <w:r>
        <w:rPr>
          <w:rFonts w:asciiTheme="minorHAnsi" w:hAnsiTheme="minorHAnsi"/>
        </w:rPr>
        <w:t>.</w:t>
      </w:r>
    </w:p>
    <w:p w:rsidR="00116E9A" w:rsidRPr="00AE0291" w:rsidRDefault="00116E9A" w:rsidP="00445D1A">
      <w:pPr>
        <w:pStyle w:val="Heading4"/>
      </w:pPr>
      <w:r w:rsidRPr="00AE0291">
        <w:t>Animal Health and Agriculture</w:t>
      </w:r>
    </w:p>
    <w:p w:rsidR="00116E9A" w:rsidRPr="00116E9A" w:rsidRDefault="00116E9A" w:rsidP="0008579C">
      <w:pPr>
        <w:pStyle w:val="PlainText"/>
        <w:numPr>
          <w:ilvl w:val="0"/>
          <w:numId w:val="20"/>
        </w:numPr>
        <w:spacing w:after="120"/>
        <w:ind w:hanging="357"/>
        <w:rPr>
          <w:rFonts w:asciiTheme="minorHAnsi" w:hAnsiTheme="minorHAnsi" w:cs="Arial"/>
          <w:sz w:val="24"/>
          <w:szCs w:val="24"/>
        </w:rPr>
      </w:pPr>
      <w:r w:rsidRPr="00116E9A">
        <w:rPr>
          <w:rFonts w:asciiTheme="minorHAnsi" w:hAnsiTheme="minorHAnsi" w:cs="Arial"/>
          <w:sz w:val="24"/>
          <w:szCs w:val="24"/>
        </w:rPr>
        <w:t xml:space="preserve">The Australian Veterinary Association (AVA) has recently updated the </w:t>
      </w:r>
      <w:r w:rsidRPr="00116E9A">
        <w:rPr>
          <w:rFonts w:asciiTheme="minorHAnsi" w:hAnsiTheme="minorHAnsi" w:cs="Arial"/>
          <w:i/>
          <w:sz w:val="24"/>
          <w:szCs w:val="24"/>
        </w:rPr>
        <w:t>infection, prevention and control principles and procedures</w:t>
      </w:r>
      <w:r w:rsidRPr="00116E9A">
        <w:rPr>
          <w:rFonts w:asciiTheme="minorHAnsi" w:hAnsiTheme="minorHAnsi" w:cs="Arial"/>
          <w:sz w:val="24"/>
          <w:szCs w:val="24"/>
        </w:rPr>
        <w:t xml:space="preserve"> in the </w:t>
      </w:r>
      <w:r w:rsidRPr="00116E9A">
        <w:rPr>
          <w:rFonts w:asciiTheme="minorHAnsi" w:hAnsiTheme="minorHAnsi" w:cs="Arial"/>
          <w:i/>
          <w:sz w:val="24"/>
          <w:szCs w:val="24"/>
        </w:rPr>
        <w:t xml:space="preserve">AVA </w:t>
      </w:r>
      <w:hyperlink r:id="rId21" w:history="1">
        <w:r w:rsidRPr="00116E9A">
          <w:rPr>
            <w:rFonts w:asciiTheme="minorHAnsi" w:hAnsiTheme="minorHAnsi" w:cs="Arial"/>
            <w:i/>
            <w:sz w:val="24"/>
            <w:szCs w:val="24"/>
          </w:rPr>
          <w:t>Guidelines for veterinary personal biosecurity</w:t>
        </w:r>
      </w:hyperlink>
      <w:r w:rsidRPr="00116E9A">
        <w:rPr>
          <w:rFonts w:asciiTheme="minorHAnsi" w:hAnsiTheme="minorHAnsi" w:cs="Arial"/>
          <w:sz w:val="24"/>
          <w:szCs w:val="24"/>
        </w:rPr>
        <w:t>. This provides the latest information about infection control, how to deal with high risk situations, and is relevant to veterinary practices of all types.</w:t>
      </w:r>
    </w:p>
    <w:p w:rsidR="00116E9A" w:rsidRPr="00116E9A" w:rsidRDefault="00116E9A" w:rsidP="0008579C">
      <w:pPr>
        <w:pStyle w:val="ListParagraph"/>
        <w:numPr>
          <w:ilvl w:val="0"/>
          <w:numId w:val="19"/>
        </w:numPr>
        <w:spacing w:after="120"/>
        <w:ind w:hanging="357"/>
        <w:contextualSpacing w:val="0"/>
        <w:rPr>
          <w:rFonts w:asciiTheme="minorHAnsi" w:hAnsiTheme="minorHAnsi" w:cs="Arial"/>
        </w:rPr>
      </w:pPr>
      <w:r w:rsidRPr="00116E9A">
        <w:rPr>
          <w:rFonts w:asciiTheme="minorHAnsi" w:hAnsiTheme="minorHAnsi" w:cs="Arial"/>
          <w:iCs/>
        </w:rPr>
        <w:t xml:space="preserve">The Australian Cattle Veterinarians </w:t>
      </w:r>
      <w:r w:rsidR="006932B9">
        <w:rPr>
          <w:rFonts w:asciiTheme="minorHAnsi" w:hAnsiTheme="minorHAnsi" w:cs="Arial"/>
          <w:iCs/>
        </w:rPr>
        <w:t>(</w:t>
      </w:r>
      <w:r w:rsidR="00814305">
        <w:rPr>
          <w:rFonts w:asciiTheme="minorHAnsi" w:hAnsiTheme="minorHAnsi" w:cs="Arial"/>
          <w:iCs/>
        </w:rPr>
        <w:t xml:space="preserve">a </w:t>
      </w:r>
      <w:r w:rsidRPr="00116E9A">
        <w:rPr>
          <w:rFonts w:asciiTheme="minorHAnsi" w:hAnsiTheme="minorHAnsi" w:cs="Arial"/>
          <w:iCs/>
        </w:rPr>
        <w:t>special interest group of the AVA</w:t>
      </w:r>
      <w:r w:rsidR="006932B9">
        <w:rPr>
          <w:rFonts w:asciiTheme="minorHAnsi" w:hAnsiTheme="minorHAnsi" w:cs="Arial"/>
          <w:iCs/>
        </w:rPr>
        <w:t>)</w:t>
      </w:r>
      <w:r w:rsidRPr="00116E9A">
        <w:rPr>
          <w:rFonts w:asciiTheme="minorHAnsi" w:hAnsiTheme="minorHAnsi" w:cs="Arial"/>
          <w:iCs/>
        </w:rPr>
        <w:t xml:space="preserve"> launched </w:t>
      </w:r>
      <w:hyperlink r:id="rId22" w:history="1">
        <w:r w:rsidRPr="00116E9A">
          <w:rPr>
            <w:rStyle w:val="Hyperlink"/>
            <w:rFonts w:asciiTheme="minorHAnsi" w:hAnsiTheme="minorHAnsi" w:cs="Arial"/>
            <w:i/>
            <w:color w:val="auto"/>
            <w:u w:val="none"/>
          </w:rPr>
          <w:t>BIOCHECK</w:t>
        </w:r>
        <w:r w:rsidRPr="00116E9A">
          <w:rPr>
            <w:rStyle w:val="Hyperlink"/>
            <w:rFonts w:asciiTheme="minorHAnsi" w:hAnsiTheme="minorHAnsi" w:cs="Arial"/>
            <w:i/>
            <w:color w:val="auto"/>
            <w:u w:val="none"/>
            <w:vertAlign w:val="superscript"/>
          </w:rPr>
          <w:t>®</w:t>
        </w:r>
        <w:r w:rsidRPr="00116E9A">
          <w:rPr>
            <w:rStyle w:val="Hyperlink"/>
            <w:rFonts w:asciiTheme="minorHAnsi" w:hAnsiTheme="minorHAnsi" w:cs="Arial"/>
            <w:i/>
            <w:color w:val="auto"/>
            <w:u w:val="none"/>
          </w:rPr>
          <w:t xml:space="preserve"> Biosecurity plan</w:t>
        </w:r>
      </w:hyperlink>
      <w:r w:rsidRPr="00116E9A">
        <w:rPr>
          <w:rFonts w:asciiTheme="minorHAnsi" w:hAnsiTheme="minorHAnsi" w:cs="Arial"/>
          <w:iCs/>
        </w:rPr>
        <w:t>. This plan ensure</w:t>
      </w:r>
      <w:r w:rsidR="006932B9">
        <w:rPr>
          <w:rFonts w:asciiTheme="minorHAnsi" w:hAnsiTheme="minorHAnsi" w:cs="Arial"/>
          <w:iCs/>
        </w:rPr>
        <w:t>s</w:t>
      </w:r>
      <w:r w:rsidRPr="00116E9A">
        <w:rPr>
          <w:rFonts w:asciiTheme="minorHAnsi" w:hAnsiTheme="minorHAnsi" w:cs="Arial"/>
          <w:iCs/>
        </w:rPr>
        <w:t xml:space="preserve"> that farms consider major biosecurity risks and have appropriate risk management strategies in place to prevent disease.</w:t>
      </w:r>
    </w:p>
    <w:p w:rsidR="00116E9A" w:rsidRPr="00116E9A" w:rsidRDefault="00116E9A" w:rsidP="0008579C">
      <w:pPr>
        <w:pStyle w:val="ListParagraph"/>
        <w:numPr>
          <w:ilvl w:val="0"/>
          <w:numId w:val="19"/>
        </w:numPr>
        <w:spacing w:after="120"/>
        <w:ind w:hanging="357"/>
        <w:contextualSpacing w:val="0"/>
        <w:rPr>
          <w:rFonts w:asciiTheme="minorHAnsi" w:hAnsiTheme="minorHAnsi" w:cs="Arial"/>
        </w:rPr>
      </w:pPr>
      <w:r w:rsidRPr="00116E9A">
        <w:rPr>
          <w:rFonts w:asciiTheme="minorHAnsi" w:hAnsiTheme="minorHAnsi" w:cs="Arial"/>
        </w:rPr>
        <w:t xml:space="preserve">Meat &amp; Livestock Australia </w:t>
      </w:r>
      <w:r w:rsidR="00814305">
        <w:rPr>
          <w:rFonts w:asciiTheme="minorHAnsi" w:hAnsiTheme="minorHAnsi" w:cs="Arial"/>
        </w:rPr>
        <w:t>is</w:t>
      </w:r>
      <w:r w:rsidR="00814305" w:rsidRPr="00116E9A">
        <w:rPr>
          <w:rFonts w:asciiTheme="minorHAnsi" w:hAnsiTheme="minorHAnsi" w:cs="Arial"/>
        </w:rPr>
        <w:t xml:space="preserve"> </w:t>
      </w:r>
      <w:r w:rsidRPr="00116E9A">
        <w:rPr>
          <w:rFonts w:asciiTheme="minorHAnsi" w:hAnsiTheme="minorHAnsi" w:cs="Arial"/>
        </w:rPr>
        <w:t>involved in a project to r</w:t>
      </w:r>
      <w:r w:rsidRPr="00116E9A">
        <w:rPr>
          <w:rFonts w:asciiTheme="minorHAnsi" w:eastAsia="Calibri" w:hAnsiTheme="minorHAnsi" w:cs="Arial"/>
        </w:rPr>
        <w:t xml:space="preserve">esearch and develop evidence-based </w:t>
      </w:r>
      <w:r w:rsidR="00336D51">
        <w:rPr>
          <w:rFonts w:asciiTheme="minorHAnsi" w:eastAsia="Calibri" w:hAnsiTheme="minorHAnsi" w:cs="Arial"/>
        </w:rPr>
        <w:t>IPC</w:t>
      </w:r>
      <w:r w:rsidRPr="00116E9A">
        <w:rPr>
          <w:rFonts w:asciiTheme="minorHAnsi" w:eastAsia="Calibri" w:hAnsiTheme="minorHAnsi" w:cs="Arial"/>
        </w:rPr>
        <w:t xml:space="preserve"> measures for adoption into industry standards for managing infectious cattle diseases, including bovine respiratory disease, on feedlots. </w:t>
      </w:r>
      <w:r w:rsidRPr="00116E9A">
        <w:rPr>
          <w:rFonts w:asciiTheme="minorHAnsi" w:hAnsiTheme="minorHAnsi" w:cs="Arial"/>
        </w:rPr>
        <w:t>A technical manual is being prepared</w:t>
      </w:r>
      <w:r w:rsidR="0077432E">
        <w:rPr>
          <w:rFonts w:asciiTheme="minorHAnsi" w:hAnsiTheme="minorHAnsi" w:cs="Arial"/>
        </w:rPr>
        <w:t xml:space="preserve"> and </w:t>
      </w:r>
      <w:r w:rsidRPr="00116E9A">
        <w:rPr>
          <w:rFonts w:asciiTheme="minorHAnsi" w:hAnsiTheme="minorHAnsi" w:cs="Arial"/>
        </w:rPr>
        <w:t xml:space="preserve">communication and extension activities </w:t>
      </w:r>
      <w:r w:rsidR="0077432E">
        <w:rPr>
          <w:rFonts w:asciiTheme="minorHAnsi" w:hAnsiTheme="minorHAnsi" w:cs="Arial"/>
        </w:rPr>
        <w:t>are expected</w:t>
      </w:r>
      <w:r w:rsidRPr="00116E9A">
        <w:rPr>
          <w:rFonts w:asciiTheme="minorHAnsi" w:hAnsiTheme="minorHAnsi" w:cs="Arial"/>
        </w:rPr>
        <w:t xml:space="preserve"> during 2018.</w:t>
      </w:r>
    </w:p>
    <w:p w:rsidR="00116E9A" w:rsidRPr="00116E9A" w:rsidRDefault="00116E9A" w:rsidP="0008579C">
      <w:pPr>
        <w:pStyle w:val="ListParagraph"/>
        <w:numPr>
          <w:ilvl w:val="0"/>
          <w:numId w:val="19"/>
        </w:numPr>
        <w:spacing w:after="120"/>
        <w:ind w:hanging="357"/>
        <w:contextualSpacing w:val="0"/>
        <w:rPr>
          <w:rFonts w:asciiTheme="minorHAnsi" w:hAnsiTheme="minorHAnsi" w:cs="Arial"/>
        </w:rPr>
      </w:pPr>
      <w:r w:rsidRPr="00116E9A">
        <w:rPr>
          <w:rFonts w:asciiTheme="minorHAnsi" w:hAnsiTheme="minorHAnsi" w:cs="Arial"/>
        </w:rPr>
        <w:t xml:space="preserve">Meat &amp; Livestock Australia </w:t>
      </w:r>
      <w:r w:rsidR="00814305">
        <w:rPr>
          <w:rFonts w:asciiTheme="minorHAnsi" w:hAnsiTheme="minorHAnsi" w:cs="Arial"/>
        </w:rPr>
        <w:t>is</w:t>
      </w:r>
      <w:r w:rsidR="00814305" w:rsidRPr="00116E9A">
        <w:rPr>
          <w:rFonts w:asciiTheme="minorHAnsi" w:hAnsiTheme="minorHAnsi" w:cs="Arial"/>
        </w:rPr>
        <w:t xml:space="preserve"> </w:t>
      </w:r>
      <w:r w:rsidRPr="00116E9A">
        <w:rPr>
          <w:rFonts w:asciiTheme="minorHAnsi" w:hAnsiTheme="minorHAnsi" w:cs="Arial"/>
        </w:rPr>
        <w:t>involved in a project assessing the efficacy of different vaccination regimens prior to cattle entering the feedlot so that evidence-based practices can be introduced to support the control of bovine respiratory disease. The research will be completed in September 2017 and communication materials developed subsequently.</w:t>
      </w:r>
    </w:p>
    <w:p w:rsidR="00116E9A" w:rsidRPr="00116E9A" w:rsidRDefault="00116E9A" w:rsidP="0008579C">
      <w:pPr>
        <w:pStyle w:val="ListParagraph"/>
        <w:numPr>
          <w:ilvl w:val="0"/>
          <w:numId w:val="19"/>
        </w:numPr>
        <w:spacing w:after="120"/>
        <w:contextualSpacing w:val="0"/>
        <w:rPr>
          <w:rFonts w:asciiTheme="minorHAnsi" w:hAnsiTheme="minorHAnsi" w:cs="Arial"/>
        </w:rPr>
      </w:pPr>
      <w:r w:rsidRPr="00116E9A">
        <w:rPr>
          <w:rFonts w:asciiTheme="minorHAnsi" w:hAnsiTheme="minorHAnsi" w:cs="Arial"/>
        </w:rPr>
        <w:t xml:space="preserve">The University of Sydney, along with the Centre for Veterinary Education and </w:t>
      </w:r>
      <w:r w:rsidR="00555084">
        <w:rPr>
          <w:rFonts w:asciiTheme="minorHAnsi" w:hAnsiTheme="minorHAnsi" w:cs="Arial"/>
        </w:rPr>
        <w:t xml:space="preserve">the </w:t>
      </w:r>
      <w:r w:rsidRPr="00116E9A">
        <w:rPr>
          <w:rFonts w:asciiTheme="minorHAnsi" w:hAnsiTheme="minorHAnsi" w:cs="Arial"/>
        </w:rPr>
        <w:t>Australian and New Zealand College of Veterinary Scientists are developing eLearning resources to support education on infection</w:t>
      </w:r>
      <w:r w:rsidR="00814305">
        <w:rPr>
          <w:rFonts w:asciiTheme="minorHAnsi" w:hAnsiTheme="minorHAnsi" w:cs="Arial"/>
        </w:rPr>
        <w:t xml:space="preserve"> </w:t>
      </w:r>
      <w:r w:rsidRPr="00116E9A">
        <w:rPr>
          <w:rFonts w:asciiTheme="minorHAnsi" w:hAnsiTheme="minorHAnsi" w:cs="Arial"/>
        </w:rPr>
        <w:t xml:space="preserve">prevention and control in veterinary practice. They delivered presentations </w:t>
      </w:r>
      <w:r w:rsidR="00883C9C">
        <w:rPr>
          <w:rFonts w:asciiTheme="minorHAnsi" w:hAnsiTheme="minorHAnsi" w:cs="Arial"/>
        </w:rPr>
        <w:t xml:space="preserve">in </w:t>
      </w:r>
      <w:r w:rsidRPr="00116E9A">
        <w:rPr>
          <w:rFonts w:asciiTheme="minorHAnsi" w:hAnsiTheme="minorHAnsi" w:cs="Arial"/>
        </w:rPr>
        <w:t>July 2017 and developed a podcast.</w:t>
      </w:r>
    </w:p>
    <w:p w:rsidR="00116E9A" w:rsidRPr="00C0371B" w:rsidRDefault="00116E9A" w:rsidP="008615B4">
      <w:pPr>
        <w:pStyle w:val="ListParagraph"/>
        <w:numPr>
          <w:ilvl w:val="0"/>
          <w:numId w:val="19"/>
        </w:numPr>
        <w:spacing w:after="120"/>
        <w:contextualSpacing w:val="0"/>
        <w:rPr>
          <w:rFonts w:asciiTheme="minorHAnsi" w:hAnsiTheme="minorHAnsi" w:cs="Arial"/>
        </w:rPr>
      </w:pPr>
      <w:r w:rsidRPr="00C0371B">
        <w:rPr>
          <w:rStyle w:val="Emphasis"/>
          <w:rFonts w:asciiTheme="minorHAnsi" w:hAnsiTheme="minorHAnsi" w:cs="Arial"/>
          <w:i w:val="0"/>
        </w:rPr>
        <w:t xml:space="preserve">The University of Sydney </w:t>
      </w:r>
      <w:r w:rsidR="00814305">
        <w:rPr>
          <w:rStyle w:val="Emphasis"/>
          <w:rFonts w:asciiTheme="minorHAnsi" w:hAnsiTheme="minorHAnsi" w:cs="Arial"/>
          <w:i w:val="0"/>
        </w:rPr>
        <w:t>is</w:t>
      </w:r>
      <w:r w:rsidR="00814305" w:rsidRPr="00C0371B">
        <w:rPr>
          <w:rStyle w:val="Emphasis"/>
          <w:rFonts w:asciiTheme="minorHAnsi" w:hAnsiTheme="minorHAnsi" w:cs="Arial"/>
          <w:i w:val="0"/>
        </w:rPr>
        <w:t xml:space="preserve"> </w:t>
      </w:r>
      <w:r w:rsidRPr="00C0371B">
        <w:rPr>
          <w:rStyle w:val="Emphasis"/>
          <w:rFonts w:asciiTheme="minorHAnsi" w:hAnsiTheme="minorHAnsi" w:cs="Arial"/>
          <w:i w:val="0"/>
        </w:rPr>
        <w:t xml:space="preserve">undertaking a study entitled </w:t>
      </w:r>
      <w:r w:rsidRPr="00C0371B">
        <w:rPr>
          <w:rStyle w:val="Emphasis"/>
          <w:rFonts w:asciiTheme="minorHAnsi" w:hAnsiTheme="minorHAnsi" w:cs="Arial"/>
        </w:rPr>
        <w:t>Unravelling the Secret Lives of Animal Staphylococcal Superbugs: informing infection control in veterinary practice</w:t>
      </w:r>
      <w:r w:rsidRPr="00C0371B">
        <w:rPr>
          <w:rFonts w:asciiTheme="minorHAnsi" w:hAnsiTheme="minorHAnsi" w:cs="Arial"/>
        </w:rPr>
        <w:t xml:space="preserve">. </w:t>
      </w:r>
      <w:r w:rsidR="00814305">
        <w:rPr>
          <w:rFonts w:asciiTheme="minorHAnsi" w:hAnsiTheme="minorHAnsi" w:cs="Arial"/>
        </w:rPr>
        <w:t>T</w:t>
      </w:r>
      <w:r w:rsidR="00036156" w:rsidRPr="00C0371B">
        <w:rPr>
          <w:rFonts w:asciiTheme="minorHAnsi" w:hAnsiTheme="minorHAnsi" w:cs="Arial"/>
        </w:rPr>
        <w:t>his</w:t>
      </w:r>
      <w:r w:rsidRPr="00C0371B">
        <w:rPr>
          <w:rFonts w:asciiTheme="minorHAnsi" w:hAnsiTheme="minorHAnsi" w:cs="Arial"/>
        </w:rPr>
        <w:t xml:space="preserve"> is due for completion in January 2018.</w:t>
      </w:r>
    </w:p>
    <w:p w:rsidR="00116E9A" w:rsidRPr="00116E9A" w:rsidRDefault="00116E9A" w:rsidP="0008579C">
      <w:pPr>
        <w:pStyle w:val="ListParagraph"/>
        <w:numPr>
          <w:ilvl w:val="0"/>
          <w:numId w:val="19"/>
        </w:numPr>
        <w:spacing w:after="120"/>
        <w:contextualSpacing w:val="0"/>
        <w:rPr>
          <w:rFonts w:asciiTheme="minorHAnsi" w:hAnsiTheme="minorHAnsi" w:cs="Arial"/>
        </w:rPr>
      </w:pPr>
      <w:r w:rsidRPr="00116E9A">
        <w:rPr>
          <w:rFonts w:asciiTheme="minorHAnsi" w:hAnsiTheme="minorHAnsi" w:cs="Arial"/>
        </w:rPr>
        <w:t>Australian Eggs Limited</w:t>
      </w:r>
      <w:r w:rsidRPr="00116E9A">
        <w:rPr>
          <w:rFonts w:asciiTheme="minorHAnsi" w:hAnsiTheme="minorHAnsi" w:cs="Arial"/>
          <w:lang w:bidi="en-US"/>
        </w:rPr>
        <w:t xml:space="preserve"> and Scolexia are a</w:t>
      </w:r>
      <w:r w:rsidRPr="00116E9A">
        <w:rPr>
          <w:rFonts w:asciiTheme="minorHAnsi" w:hAnsiTheme="minorHAnsi" w:cs="Arial"/>
        </w:rPr>
        <w:t xml:space="preserve">ssessing the efficacy of feed additive products (prebiotics, probiotics and organic acids) in the control of Spotty Liver Disease caused by </w:t>
      </w:r>
      <w:r w:rsidRPr="00116E9A">
        <w:rPr>
          <w:rFonts w:asciiTheme="minorHAnsi" w:hAnsiTheme="minorHAnsi" w:cs="Arial"/>
          <w:i/>
        </w:rPr>
        <w:t xml:space="preserve">Campylobacter </w:t>
      </w:r>
      <w:r w:rsidRPr="00814305">
        <w:rPr>
          <w:rFonts w:asciiTheme="minorHAnsi" w:hAnsiTheme="minorHAnsi" w:cs="Arial"/>
        </w:rPr>
        <w:t>s</w:t>
      </w:r>
      <w:r w:rsidR="00814305" w:rsidRPr="00814305">
        <w:rPr>
          <w:rFonts w:asciiTheme="minorHAnsi" w:hAnsiTheme="minorHAnsi" w:cs="Arial"/>
        </w:rPr>
        <w:t>pecies</w:t>
      </w:r>
      <w:r w:rsidRPr="00116E9A">
        <w:rPr>
          <w:rFonts w:asciiTheme="minorHAnsi" w:hAnsiTheme="minorHAnsi" w:cs="Arial"/>
        </w:rPr>
        <w:t>. This project is due for completion in 2018.</w:t>
      </w:r>
    </w:p>
    <w:p w:rsidR="00116E9A" w:rsidRPr="00116E9A" w:rsidRDefault="00116E9A" w:rsidP="001866D7">
      <w:pPr>
        <w:pStyle w:val="ListParagraph"/>
        <w:numPr>
          <w:ilvl w:val="0"/>
          <w:numId w:val="19"/>
        </w:numPr>
        <w:spacing w:after="360"/>
        <w:ind w:left="714" w:hanging="357"/>
        <w:contextualSpacing w:val="0"/>
        <w:rPr>
          <w:rFonts w:asciiTheme="minorHAnsi" w:hAnsiTheme="minorHAnsi"/>
        </w:rPr>
      </w:pPr>
      <w:r w:rsidRPr="00116E9A">
        <w:rPr>
          <w:rFonts w:asciiTheme="minorHAnsi" w:hAnsiTheme="minorHAnsi" w:cs="Arial"/>
        </w:rPr>
        <w:t xml:space="preserve">Australian Eggs Limited and Charles Sturt University </w:t>
      </w:r>
      <w:r w:rsidRPr="00116E9A">
        <w:rPr>
          <w:rFonts w:asciiTheme="minorHAnsi" w:hAnsiTheme="minorHAnsi"/>
          <w:bCs/>
        </w:rPr>
        <w:t>are investigating the drivers of biosecurity engagement and approaches for improving engagement among egg producers in Australia. This is due for completion in 2019.</w:t>
      </w:r>
    </w:p>
    <w:p w:rsidR="00B9168A" w:rsidRPr="004146B6" w:rsidRDefault="00AE2D66" w:rsidP="00445D1A">
      <w:pPr>
        <w:pStyle w:val="Heading3"/>
      </w:pPr>
      <w:r w:rsidRPr="004146B6">
        <w:lastRenderedPageBreak/>
        <w:t>W</w:t>
      </w:r>
      <w:r w:rsidR="00B9168A" w:rsidRPr="004146B6">
        <w:t>hat are our challenges?</w:t>
      </w:r>
    </w:p>
    <w:p w:rsidR="00853CF7" w:rsidRDefault="00AF469A" w:rsidP="0008579C">
      <w:pPr>
        <w:pStyle w:val="ListParagraph"/>
        <w:numPr>
          <w:ilvl w:val="0"/>
          <w:numId w:val="19"/>
        </w:numPr>
        <w:spacing w:after="120"/>
        <w:contextualSpacing w:val="0"/>
        <w:rPr>
          <w:rFonts w:asciiTheme="minorHAnsi" w:hAnsiTheme="minorHAnsi" w:cs="Arial"/>
        </w:rPr>
      </w:pPr>
      <w:r>
        <w:rPr>
          <w:rFonts w:asciiTheme="minorHAnsi" w:hAnsiTheme="minorHAnsi" w:cs="Arial"/>
        </w:rPr>
        <w:t xml:space="preserve">Data collected through AURA </w:t>
      </w:r>
      <w:r w:rsidR="006524BB">
        <w:rPr>
          <w:rFonts w:asciiTheme="minorHAnsi" w:hAnsiTheme="minorHAnsi" w:cs="Arial"/>
        </w:rPr>
        <w:t>show</w:t>
      </w:r>
      <w:r>
        <w:rPr>
          <w:rFonts w:asciiTheme="minorHAnsi" w:hAnsiTheme="minorHAnsi" w:cs="Arial"/>
        </w:rPr>
        <w:t xml:space="preserve"> that </w:t>
      </w:r>
      <w:r w:rsidR="00E6581D">
        <w:rPr>
          <w:rFonts w:asciiTheme="minorHAnsi" w:hAnsiTheme="minorHAnsi" w:cs="Arial"/>
        </w:rPr>
        <w:t xml:space="preserve">the </w:t>
      </w:r>
      <w:r>
        <w:rPr>
          <w:rFonts w:asciiTheme="minorHAnsi" w:hAnsiTheme="minorHAnsi" w:cs="Arial"/>
        </w:rPr>
        <w:t>prevalence of community</w:t>
      </w:r>
      <w:r w:rsidR="00555084">
        <w:rPr>
          <w:rFonts w:asciiTheme="minorHAnsi" w:hAnsiTheme="minorHAnsi" w:cs="Arial"/>
        </w:rPr>
        <w:t>-</w:t>
      </w:r>
      <w:r>
        <w:rPr>
          <w:rFonts w:asciiTheme="minorHAnsi" w:hAnsiTheme="minorHAnsi" w:cs="Arial"/>
        </w:rPr>
        <w:t xml:space="preserve">acquired resistant bacteria is increasing. </w:t>
      </w:r>
      <w:r w:rsidR="004A418D">
        <w:rPr>
          <w:rFonts w:asciiTheme="minorHAnsi" w:hAnsiTheme="minorHAnsi" w:cs="Arial"/>
        </w:rPr>
        <w:t>However, we have limited understanding how transmission occurs.</w:t>
      </w:r>
    </w:p>
    <w:p w:rsidR="006131DF" w:rsidRDefault="004A418D" w:rsidP="0008579C">
      <w:pPr>
        <w:pStyle w:val="ListParagraph"/>
        <w:numPr>
          <w:ilvl w:val="0"/>
          <w:numId w:val="19"/>
        </w:numPr>
        <w:spacing w:after="120"/>
        <w:contextualSpacing w:val="0"/>
        <w:rPr>
          <w:rFonts w:asciiTheme="minorHAnsi" w:hAnsiTheme="minorHAnsi" w:cs="Arial"/>
        </w:rPr>
      </w:pPr>
      <w:r>
        <w:rPr>
          <w:rFonts w:asciiTheme="minorHAnsi" w:hAnsiTheme="minorHAnsi" w:cs="Arial"/>
        </w:rPr>
        <w:t>There is limited data available on IPC in community settings</w:t>
      </w:r>
      <w:r w:rsidR="000505CE">
        <w:rPr>
          <w:rFonts w:asciiTheme="minorHAnsi" w:hAnsiTheme="minorHAnsi" w:cs="Arial"/>
        </w:rPr>
        <w:t xml:space="preserve"> (e.g. </w:t>
      </w:r>
      <w:r w:rsidR="00555084">
        <w:rPr>
          <w:rFonts w:asciiTheme="minorHAnsi" w:hAnsiTheme="minorHAnsi" w:cs="Arial"/>
        </w:rPr>
        <w:t xml:space="preserve">for </w:t>
      </w:r>
      <w:r w:rsidR="000505CE">
        <w:rPr>
          <w:rFonts w:asciiTheme="minorHAnsi" w:hAnsiTheme="minorHAnsi" w:cs="Arial"/>
        </w:rPr>
        <w:t>general practice</w:t>
      </w:r>
      <w:r w:rsidR="00555084">
        <w:rPr>
          <w:rFonts w:asciiTheme="minorHAnsi" w:hAnsiTheme="minorHAnsi" w:cs="Arial"/>
        </w:rPr>
        <w:t>s</w:t>
      </w:r>
      <w:r w:rsidR="000505CE">
        <w:rPr>
          <w:rFonts w:asciiTheme="minorHAnsi" w:hAnsiTheme="minorHAnsi" w:cs="Arial"/>
        </w:rPr>
        <w:t xml:space="preserve"> and aged care </w:t>
      </w:r>
      <w:r w:rsidR="00555084">
        <w:rPr>
          <w:rFonts w:asciiTheme="minorHAnsi" w:hAnsiTheme="minorHAnsi" w:cs="Arial"/>
        </w:rPr>
        <w:t>homes</w:t>
      </w:r>
      <w:r w:rsidR="000505CE">
        <w:rPr>
          <w:rFonts w:asciiTheme="minorHAnsi" w:hAnsiTheme="minorHAnsi" w:cs="Arial"/>
        </w:rPr>
        <w:t xml:space="preserve">) </w:t>
      </w:r>
      <w:r>
        <w:rPr>
          <w:rFonts w:asciiTheme="minorHAnsi" w:hAnsiTheme="minorHAnsi" w:cs="Arial"/>
        </w:rPr>
        <w:t xml:space="preserve">in terms </w:t>
      </w:r>
      <w:r w:rsidR="005F2E27">
        <w:rPr>
          <w:rFonts w:asciiTheme="minorHAnsi" w:hAnsiTheme="minorHAnsi" w:cs="Arial"/>
        </w:rPr>
        <w:t xml:space="preserve">of </w:t>
      </w:r>
      <w:r>
        <w:rPr>
          <w:rFonts w:asciiTheme="minorHAnsi" w:hAnsiTheme="minorHAnsi" w:cs="Arial"/>
        </w:rPr>
        <w:t>compliance</w:t>
      </w:r>
      <w:r w:rsidR="00B908E0">
        <w:rPr>
          <w:rFonts w:asciiTheme="minorHAnsi" w:hAnsiTheme="minorHAnsi" w:cs="Arial"/>
        </w:rPr>
        <w:t>, and standards are not as prescriptive as those for hospitals and do not specifically refer to the management of resistant organisms.</w:t>
      </w:r>
    </w:p>
    <w:p w:rsidR="002469A0" w:rsidRDefault="002469A0" w:rsidP="002469A0">
      <w:pPr>
        <w:pStyle w:val="ListParagraph"/>
        <w:numPr>
          <w:ilvl w:val="0"/>
          <w:numId w:val="19"/>
        </w:numPr>
        <w:spacing w:after="120"/>
        <w:contextualSpacing w:val="0"/>
        <w:rPr>
          <w:rFonts w:asciiTheme="minorHAnsi" w:hAnsiTheme="minorHAnsi" w:cs="Arial"/>
        </w:rPr>
      </w:pPr>
      <w:r>
        <w:rPr>
          <w:rFonts w:asciiTheme="minorHAnsi" w:hAnsiTheme="minorHAnsi" w:cs="Arial"/>
        </w:rPr>
        <w:t>Ensuring that surveillance is available, timely and identifies potential outbreaks is a challenge. This is important to</w:t>
      </w:r>
      <w:r w:rsidR="00703E44">
        <w:rPr>
          <w:rFonts w:asciiTheme="minorHAnsi" w:hAnsiTheme="minorHAnsi" w:cs="Arial"/>
        </w:rPr>
        <w:t xml:space="preserve"> </w:t>
      </w:r>
      <w:r>
        <w:rPr>
          <w:rFonts w:asciiTheme="minorHAnsi" w:hAnsiTheme="minorHAnsi" w:cs="Arial"/>
        </w:rPr>
        <w:t>trigger the prompt implementation of IPC measures, in addition to standard IPC, appropriate for the increased risk of transmission.</w:t>
      </w:r>
    </w:p>
    <w:p w:rsidR="000505CE" w:rsidRDefault="000505CE" w:rsidP="000505CE">
      <w:pPr>
        <w:pStyle w:val="ListParagraph"/>
        <w:numPr>
          <w:ilvl w:val="0"/>
          <w:numId w:val="19"/>
        </w:numPr>
        <w:spacing w:after="120"/>
        <w:contextualSpacing w:val="0"/>
        <w:rPr>
          <w:rFonts w:asciiTheme="minorHAnsi" w:hAnsiTheme="minorHAnsi" w:cs="Arial"/>
        </w:rPr>
      </w:pPr>
      <w:r>
        <w:rPr>
          <w:rFonts w:asciiTheme="minorHAnsi" w:hAnsiTheme="minorHAnsi" w:cs="Arial"/>
        </w:rPr>
        <w:t xml:space="preserve">As the transmission of infection is very common in early childhood education and care settings, it is important to educate staff at these settings on contemporary </w:t>
      </w:r>
      <w:r w:rsidR="00336D51">
        <w:rPr>
          <w:rFonts w:asciiTheme="minorHAnsi" w:hAnsiTheme="minorHAnsi" w:cs="Arial"/>
        </w:rPr>
        <w:t>IPC</w:t>
      </w:r>
      <w:r>
        <w:rPr>
          <w:rFonts w:asciiTheme="minorHAnsi" w:hAnsiTheme="minorHAnsi" w:cs="Arial"/>
        </w:rPr>
        <w:t xml:space="preserve"> practices.</w:t>
      </w:r>
    </w:p>
    <w:p w:rsidR="00F85AA1" w:rsidRDefault="004A418D" w:rsidP="00F85AA1">
      <w:pPr>
        <w:pStyle w:val="ListParagraph"/>
        <w:numPr>
          <w:ilvl w:val="0"/>
          <w:numId w:val="19"/>
        </w:numPr>
        <w:spacing w:after="120"/>
        <w:contextualSpacing w:val="0"/>
        <w:rPr>
          <w:rFonts w:asciiTheme="minorHAnsi" w:hAnsiTheme="minorHAnsi" w:cs="Arial"/>
        </w:rPr>
      </w:pPr>
      <w:r>
        <w:rPr>
          <w:rFonts w:asciiTheme="minorHAnsi" w:hAnsiTheme="minorHAnsi" w:cs="Arial"/>
        </w:rPr>
        <w:t>We haven’t yet made good progress in applying</w:t>
      </w:r>
      <w:r w:rsidR="006C1B46" w:rsidRPr="006C1B46">
        <w:rPr>
          <w:rFonts w:asciiTheme="minorHAnsi" w:hAnsiTheme="minorHAnsi" w:cs="Arial"/>
        </w:rPr>
        <w:t xml:space="preserve"> existing initiatives (such as hand hygiene</w:t>
      </w:r>
      <w:r w:rsidR="006C1B46">
        <w:rPr>
          <w:rFonts w:asciiTheme="minorHAnsi" w:hAnsiTheme="minorHAnsi" w:cs="Arial"/>
        </w:rPr>
        <w:t>)</w:t>
      </w:r>
      <w:r w:rsidR="006C1B46" w:rsidRPr="006C1B46">
        <w:rPr>
          <w:rFonts w:asciiTheme="minorHAnsi" w:hAnsiTheme="minorHAnsi" w:cs="Arial"/>
        </w:rPr>
        <w:t xml:space="preserve"> used in human health</w:t>
      </w:r>
      <w:r w:rsidR="00464154">
        <w:rPr>
          <w:rFonts w:asciiTheme="minorHAnsi" w:hAnsiTheme="minorHAnsi" w:cs="Arial"/>
        </w:rPr>
        <w:t>care settings</w:t>
      </w:r>
      <w:r w:rsidR="006C1B46" w:rsidRPr="006C1B46">
        <w:rPr>
          <w:rFonts w:asciiTheme="minorHAnsi" w:hAnsiTheme="minorHAnsi" w:cs="Arial"/>
        </w:rPr>
        <w:t xml:space="preserve"> </w:t>
      </w:r>
      <w:r w:rsidR="006C1B46">
        <w:rPr>
          <w:rFonts w:asciiTheme="minorHAnsi" w:hAnsiTheme="minorHAnsi" w:cs="Arial"/>
        </w:rPr>
        <w:t>to animal health</w:t>
      </w:r>
      <w:r w:rsidR="00464154">
        <w:rPr>
          <w:rFonts w:asciiTheme="minorHAnsi" w:hAnsiTheme="minorHAnsi" w:cs="Arial"/>
        </w:rPr>
        <w:t>care</w:t>
      </w:r>
      <w:r w:rsidR="006C1B46">
        <w:rPr>
          <w:rFonts w:asciiTheme="minorHAnsi" w:hAnsiTheme="minorHAnsi" w:cs="Arial"/>
        </w:rPr>
        <w:t xml:space="preserve"> and agriculture, and vice versa</w:t>
      </w:r>
      <w:r>
        <w:rPr>
          <w:rFonts w:asciiTheme="minorHAnsi" w:hAnsiTheme="minorHAnsi" w:cs="Arial"/>
        </w:rPr>
        <w:t xml:space="preserve">, </w:t>
      </w:r>
      <w:r w:rsidR="00027D8E">
        <w:rPr>
          <w:rFonts w:asciiTheme="minorHAnsi" w:hAnsiTheme="minorHAnsi" w:cs="Arial"/>
        </w:rPr>
        <w:t>to</w:t>
      </w:r>
      <w:r w:rsidR="006C1B46" w:rsidRPr="006C1B46">
        <w:rPr>
          <w:rFonts w:asciiTheme="minorHAnsi" w:hAnsiTheme="minorHAnsi" w:cs="Arial"/>
        </w:rPr>
        <w:t xml:space="preserve"> </w:t>
      </w:r>
      <w:r w:rsidR="006C1B46">
        <w:rPr>
          <w:rFonts w:asciiTheme="minorHAnsi" w:hAnsiTheme="minorHAnsi" w:cs="Arial"/>
        </w:rPr>
        <w:t xml:space="preserve">enhance </w:t>
      </w:r>
      <w:r w:rsidR="00027D8E">
        <w:rPr>
          <w:rFonts w:asciiTheme="minorHAnsi" w:hAnsiTheme="minorHAnsi" w:cs="Arial"/>
        </w:rPr>
        <w:t xml:space="preserve">current </w:t>
      </w:r>
      <w:r w:rsidR="006C1B46">
        <w:rPr>
          <w:rFonts w:asciiTheme="minorHAnsi" w:hAnsiTheme="minorHAnsi" w:cs="Arial"/>
        </w:rPr>
        <w:t>IPC approaches.</w:t>
      </w:r>
    </w:p>
    <w:p w:rsidR="006C1B46" w:rsidRPr="00F85AA1" w:rsidRDefault="00040C0E" w:rsidP="00F85AA1">
      <w:pPr>
        <w:pStyle w:val="ListParagraph"/>
        <w:numPr>
          <w:ilvl w:val="0"/>
          <w:numId w:val="19"/>
        </w:numPr>
        <w:spacing w:after="120"/>
        <w:contextualSpacing w:val="0"/>
        <w:rPr>
          <w:rFonts w:asciiTheme="minorHAnsi" w:hAnsiTheme="minorHAnsi" w:cs="Arial"/>
        </w:rPr>
      </w:pPr>
      <w:r w:rsidRPr="00F85AA1">
        <w:rPr>
          <w:rFonts w:asciiTheme="minorHAnsi" w:hAnsiTheme="minorHAnsi" w:cs="Arial"/>
        </w:rPr>
        <w:t xml:space="preserve">Vaccines are </w:t>
      </w:r>
      <w:r w:rsidR="000505CE" w:rsidRPr="00F85AA1">
        <w:rPr>
          <w:rFonts w:asciiTheme="minorHAnsi" w:hAnsiTheme="minorHAnsi" w:cs="Arial"/>
        </w:rPr>
        <w:t xml:space="preserve">key </w:t>
      </w:r>
      <w:r w:rsidR="000505CE">
        <w:rPr>
          <w:rFonts w:asciiTheme="minorHAnsi" w:hAnsiTheme="minorHAnsi" w:cs="Arial"/>
        </w:rPr>
        <w:t>in the prevention of infection</w:t>
      </w:r>
      <w:r w:rsidRPr="00F85AA1">
        <w:rPr>
          <w:rFonts w:asciiTheme="minorHAnsi" w:hAnsiTheme="minorHAnsi" w:cs="Arial"/>
        </w:rPr>
        <w:t>.</w:t>
      </w:r>
      <w:r w:rsidR="004A418D">
        <w:rPr>
          <w:rFonts w:asciiTheme="minorHAnsi" w:hAnsiTheme="minorHAnsi" w:cs="Arial"/>
        </w:rPr>
        <w:t xml:space="preserve"> However, for</w:t>
      </w:r>
      <w:r w:rsidR="006C1B46" w:rsidRPr="00F85AA1">
        <w:rPr>
          <w:rFonts w:asciiTheme="minorHAnsi" w:hAnsiTheme="minorHAnsi" w:cs="Arial"/>
        </w:rPr>
        <w:t xml:space="preserve"> food-producing animals</w:t>
      </w:r>
      <w:r w:rsidRPr="00F85AA1">
        <w:rPr>
          <w:rFonts w:asciiTheme="minorHAnsi" w:hAnsiTheme="minorHAnsi" w:cs="Arial"/>
        </w:rPr>
        <w:t xml:space="preserve"> there</w:t>
      </w:r>
      <w:r w:rsidR="006C1B46" w:rsidRPr="00F85AA1">
        <w:rPr>
          <w:rFonts w:asciiTheme="minorHAnsi" w:hAnsiTheme="minorHAnsi" w:cs="Arial"/>
        </w:rPr>
        <w:t xml:space="preserve"> is </w:t>
      </w:r>
      <w:r w:rsidR="00555084">
        <w:rPr>
          <w:rFonts w:asciiTheme="minorHAnsi" w:hAnsiTheme="minorHAnsi" w:cs="Arial"/>
        </w:rPr>
        <w:t>a</w:t>
      </w:r>
      <w:r w:rsidR="00555084" w:rsidRPr="00F85AA1">
        <w:rPr>
          <w:rFonts w:asciiTheme="minorHAnsi" w:hAnsiTheme="minorHAnsi" w:cs="Arial"/>
        </w:rPr>
        <w:t xml:space="preserve"> </w:t>
      </w:r>
      <w:r w:rsidR="006C1B46" w:rsidRPr="00F85AA1">
        <w:rPr>
          <w:rFonts w:asciiTheme="minorHAnsi" w:hAnsiTheme="minorHAnsi" w:cs="Arial"/>
        </w:rPr>
        <w:t>lack of vaccine availability to prevent diseases. Australia’s animal population is small and the revenue generated from potential vaccine sales would also be small. This limits access to new vaccines.</w:t>
      </w:r>
    </w:p>
    <w:p w:rsidR="00C02BAA" w:rsidRPr="004146B6" w:rsidRDefault="00FF63EC" w:rsidP="00445D1A">
      <w:pPr>
        <w:pStyle w:val="Heading3"/>
      </w:pPr>
      <w:r w:rsidRPr="004146B6">
        <w:t>W</w:t>
      </w:r>
      <w:r w:rsidR="00E43536" w:rsidRPr="004146B6">
        <w:t>here to next</w:t>
      </w:r>
      <w:r w:rsidRPr="004146B6">
        <w:t>?</w:t>
      </w:r>
    </w:p>
    <w:p w:rsidR="001A3366" w:rsidRPr="00F85AA1" w:rsidRDefault="001A3366" w:rsidP="00F72B42">
      <w:pPr>
        <w:pStyle w:val="ListParagraph"/>
        <w:numPr>
          <w:ilvl w:val="0"/>
          <w:numId w:val="19"/>
        </w:numPr>
        <w:spacing w:after="120"/>
        <w:contextualSpacing w:val="0"/>
        <w:rPr>
          <w:rFonts w:asciiTheme="minorHAnsi" w:hAnsiTheme="minorHAnsi" w:cs="Arial"/>
        </w:rPr>
      </w:pPr>
      <w:r>
        <w:rPr>
          <w:rFonts w:asciiTheme="minorHAnsi" w:hAnsiTheme="minorHAnsi" w:cs="Arial"/>
        </w:rPr>
        <w:t xml:space="preserve">Continue to </w:t>
      </w:r>
      <w:r w:rsidR="00B908E0">
        <w:rPr>
          <w:rFonts w:asciiTheme="minorHAnsi" w:hAnsiTheme="minorHAnsi" w:cs="Arial"/>
        </w:rPr>
        <w:t xml:space="preserve">improve and </w:t>
      </w:r>
      <w:r>
        <w:rPr>
          <w:rFonts w:asciiTheme="minorHAnsi" w:hAnsiTheme="minorHAnsi" w:cs="Arial"/>
        </w:rPr>
        <w:t xml:space="preserve">review </w:t>
      </w:r>
      <w:r w:rsidR="008562C3">
        <w:rPr>
          <w:rFonts w:asciiTheme="minorHAnsi" w:hAnsiTheme="minorHAnsi" w:cs="Arial"/>
        </w:rPr>
        <w:t xml:space="preserve">surveillance data </w:t>
      </w:r>
      <w:r w:rsidR="009D629F">
        <w:rPr>
          <w:rFonts w:asciiTheme="minorHAnsi" w:hAnsiTheme="minorHAnsi" w:cs="Arial"/>
        </w:rPr>
        <w:t>to enable</w:t>
      </w:r>
      <w:r w:rsidR="00491737">
        <w:rPr>
          <w:rFonts w:asciiTheme="minorHAnsi" w:hAnsiTheme="minorHAnsi" w:cs="Arial"/>
        </w:rPr>
        <w:t xml:space="preserve"> the implementation of targeted and effective IPC measures</w:t>
      </w:r>
      <w:r w:rsidR="00555084">
        <w:rPr>
          <w:rFonts w:asciiTheme="minorHAnsi" w:hAnsiTheme="minorHAnsi" w:cs="Arial"/>
        </w:rPr>
        <w:t>, where needed</w:t>
      </w:r>
      <w:r w:rsidR="00491737">
        <w:rPr>
          <w:rFonts w:asciiTheme="minorHAnsi" w:hAnsiTheme="minorHAnsi" w:cs="Arial"/>
        </w:rPr>
        <w:t>.</w:t>
      </w:r>
    </w:p>
    <w:p w:rsidR="006131DF" w:rsidRPr="00F85AA1" w:rsidRDefault="006131DF" w:rsidP="00F72B42">
      <w:pPr>
        <w:pStyle w:val="ListParagraph"/>
        <w:numPr>
          <w:ilvl w:val="0"/>
          <w:numId w:val="19"/>
        </w:numPr>
        <w:spacing w:after="120"/>
        <w:contextualSpacing w:val="0"/>
        <w:rPr>
          <w:rFonts w:asciiTheme="minorHAnsi" w:hAnsiTheme="minorHAnsi" w:cs="Arial"/>
        </w:rPr>
      </w:pPr>
      <w:r>
        <w:rPr>
          <w:rFonts w:asciiTheme="minorHAnsi" w:hAnsiTheme="minorHAnsi" w:cs="Arial"/>
        </w:rPr>
        <w:t xml:space="preserve">Identify and implement </w:t>
      </w:r>
      <w:r w:rsidR="00EA39AE">
        <w:rPr>
          <w:rFonts w:asciiTheme="minorHAnsi" w:hAnsiTheme="minorHAnsi" w:cs="Arial"/>
        </w:rPr>
        <w:t xml:space="preserve">innovative ways to maximise </w:t>
      </w:r>
      <w:r w:rsidR="001A3366">
        <w:rPr>
          <w:rFonts w:asciiTheme="minorHAnsi" w:hAnsiTheme="minorHAnsi" w:cs="Arial"/>
        </w:rPr>
        <w:t>best practice IPC</w:t>
      </w:r>
      <w:r w:rsidR="00555084">
        <w:rPr>
          <w:rFonts w:asciiTheme="minorHAnsi" w:hAnsiTheme="minorHAnsi" w:cs="Arial"/>
        </w:rPr>
        <w:t>,</w:t>
      </w:r>
      <w:r w:rsidR="006524BB">
        <w:rPr>
          <w:rFonts w:asciiTheme="minorHAnsi" w:hAnsiTheme="minorHAnsi" w:cs="Arial"/>
        </w:rPr>
        <w:t xml:space="preserve"> including though increased research</w:t>
      </w:r>
      <w:r w:rsidR="001A3366">
        <w:rPr>
          <w:rFonts w:asciiTheme="minorHAnsi" w:hAnsiTheme="minorHAnsi" w:cs="Arial"/>
        </w:rPr>
        <w:t>, in</w:t>
      </w:r>
      <w:r w:rsidR="00EA39AE">
        <w:rPr>
          <w:rFonts w:asciiTheme="minorHAnsi" w:hAnsiTheme="minorHAnsi" w:cs="Arial"/>
        </w:rPr>
        <w:t xml:space="preserve"> primary health care and aged care </w:t>
      </w:r>
      <w:r w:rsidR="00555084">
        <w:rPr>
          <w:rFonts w:asciiTheme="minorHAnsi" w:hAnsiTheme="minorHAnsi" w:cs="Arial"/>
        </w:rPr>
        <w:t xml:space="preserve">homes </w:t>
      </w:r>
      <w:r w:rsidR="00EA39AE">
        <w:rPr>
          <w:rFonts w:asciiTheme="minorHAnsi" w:hAnsiTheme="minorHAnsi" w:cs="Arial"/>
        </w:rPr>
        <w:t>that are appropriate for the level of risk in these settings</w:t>
      </w:r>
      <w:r w:rsidR="00555084">
        <w:rPr>
          <w:rFonts w:asciiTheme="minorHAnsi" w:hAnsiTheme="minorHAnsi" w:cs="Arial"/>
        </w:rPr>
        <w:t xml:space="preserve"> and consistent with the </w:t>
      </w:r>
      <w:r w:rsidR="00555084" w:rsidRPr="00555084">
        <w:rPr>
          <w:rFonts w:asciiTheme="minorHAnsi" w:hAnsiTheme="minorHAnsi" w:cs="Arial"/>
          <w:i/>
        </w:rPr>
        <w:t>Australian Guidelines for the Prevention and Control of Infection in Healthcare</w:t>
      </w:r>
      <w:r w:rsidR="00EA39AE">
        <w:rPr>
          <w:rFonts w:asciiTheme="minorHAnsi" w:hAnsiTheme="minorHAnsi" w:cs="Arial"/>
        </w:rPr>
        <w:t>.</w:t>
      </w:r>
    </w:p>
    <w:p w:rsidR="00F73130" w:rsidRDefault="00B908E0" w:rsidP="00F72B42">
      <w:pPr>
        <w:pStyle w:val="ListParagraph"/>
        <w:numPr>
          <w:ilvl w:val="0"/>
          <w:numId w:val="19"/>
        </w:numPr>
        <w:spacing w:after="120"/>
        <w:contextualSpacing w:val="0"/>
        <w:rPr>
          <w:rFonts w:asciiTheme="minorHAnsi" w:hAnsiTheme="minorHAnsi" w:cs="Arial"/>
        </w:rPr>
      </w:pPr>
      <w:r>
        <w:rPr>
          <w:rFonts w:asciiTheme="minorHAnsi" w:hAnsiTheme="minorHAnsi" w:cs="Arial"/>
        </w:rPr>
        <w:t>Strengthen</w:t>
      </w:r>
      <w:r w:rsidR="00F73130">
        <w:rPr>
          <w:rFonts w:asciiTheme="minorHAnsi" w:hAnsiTheme="minorHAnsi" w:cs="Arial"/>
        </w:rPr>
        <w:t xml:space="preserve"> coordination </w:t>
      </w:r>
      <w:r w:rsidR="009D629F">
        <w:rPr>
          <w:rFonts w:asciiTheme="minorHAnsi" w:hAnsiTheme="minorHAnsi" w:cs="Arial"/>
        </w:rPr>
        <w:t xml:space="preserve">and information sharing </w:t>
      </w:r>
      <w:r w:rsidR="00F73130">
        <w:rPr>
          <w:rFonts w:asciiTheme="minorHAnsi" w:hAnsiTheme="minorHAnsi" w:cs="Arial"/>
        </w:rPr>
        <w:t>between</w:t>
      </w:r>
      <w:r w:rsidR="009D629F">
        <w:rPr>
          <w:rFonts w:asciiTheme="minorHAnsi" w:hAnsiTheme="minorHAnsi" w:cs="Arial"/>
        </w:rPr>
        <w:t xml:space="preserve"> the</w:t>
      </w:r>
      <w:r w:rsidR="00F73130" w:rsidRPr="00F73130">
        <w:rPr>
          <w:rFonts w:asciiTheme="minorHAnsi" w:hAnsiTheme="minorHAnsi" w:cs="Arial"/>
        </w:rPr>
        <w:t xml:space="preserve"> human and animal health </w:t>
      </w:r>
      <w:r w:rsidR="009D629F">
        <w:rPr>
          <w:rFonts w:asciiTheme="minorHAnsi" w:hAnsiTheme="minorHAnsi" w:cs="Arial"/>
        </w:rPr>
        <w:t xml:space="preserve">sectors </w:t>
      </w:r>
      <w:r w:rsidR="00F73130" w:rsidRPr="00F73130">
        <w:rPr>
          <w:rFonts w:asciiTheme="minorHAnsi" w:hAnsiTheme="minorHAnsi" w:cs="Arial"/>
        </w:rPr>
        <w:t>in terms of surveillance, prevention and management</w:t>
      </w:r>
      <w:r w:rsidR="00F73130">
        <w:rPr>
          <w:rFonts w:asciiTheme="minorHAnsi" w:hAnsiTheme="minorHAnsi" w:cs="Arial"/>
        </w:rPr>
        <w:t>.</w:t>
      </w:r>
    </w:p>
    <w:p w:rsidR="00001915" w:rsidRPr="008A62DA" w:rsidRDefault="00B908E0" w:rsidP="008A62DA">
      <w:pPr>
        <w:pStyle w:val="ListParagraph"/>
        <w:numPr>
          <w:ilvl w:val="0"/>
          <w:numId w:val="19"/>
        </w:numPr>
        <w:spacing w:after="120"/>
        <w:contextualSpacing w:val="0"/>
        <w:rPr>
          <w:rFonts w:asciiTheme="minorHAnsi" w:hAnsiTheme="minorHAnsi" w:cs="Arial"/>
        </w:rPr>
      </w:pPr>
      <w:r w:rsidRPr="00555084">
        <w:rPr>
          <w:rFonts w:asciiTheme="minorHAnsi" w:hAnsiTheme="minorHAnsi" w:cs="Arial"/>
        </w:rPr>
        <w:t>K</w:t>
      </w:r>
      <w:r w:rsidR="00F73130" w:rsidRPr="00555084">
        <w:rPr>
          <w:rFonts w:asciiTheme="minorHAnsi" w:hAnsiTheme="minorHAnsi" w:cs="Arial"/>
        </w:rPr>
        <w:t xml:space="preserve">eep </w:t>
      </w:r>
      <w:r w:rsidR="004372A8" w:rsidRPr="00555084">
        <w:rPr>
          <w:rFonts w:asciiTheme="minorHAnsi" w:hAnsiTheme="minorHAnsi" w:cs="Arial"/>
        </w:rPr>
        <w:t>find</w:t>
      </w:r>
      <w:r w:rsidR="00F73130" w:rsidRPr="00555084">
        <w:rPr>
          <w:rFonts w:asciiTheme="minorHAnsi" w:hAnsiTheme="minorHAnsi" w:cs="Arial"/>
        </w:rPr>
        <w:t>ing</w:t>
      </w:r>
      <w:r w:rsidR="004372A8" w:rsidRPr="00555084">
        <w:rPr>
          <w:rFonts w:asciiTheme="minorHAnsi" w:hAnsiTheme="minorHAnsi" w:cs="Arial"/>
        </w:rPr>
        <w:t xml:space="preserve"> and us</w:t>
      </w:r>
      <w:r w:rsidR="00F73130" w:rsidRPr="00555084">
        <w:rPr>
          <w:rFonts w:asciiTheme="minorHAnsi" w:hAnsiTheme="minorHAnsi" w:cs="Arial"/>
        </w:rPr>
        <w:t>ing</w:t>
      </w:r>
      <w:r w:rsidR="004372A8" w:rsidRPr="00555084">
        <w:rPr>
          <w:rFonts w:asciiTheme="minorHAnsi" w:hAnsiTheme="minorHAnsi" w:cs="Arial"/>
        </w:rPr>
        <w:t xml:space="preserve"> </w:t>
      </w:r>
      <w:r w:rsidR="000505CE" w:rsidRPr="00555084">
        <w:rPr>
          <w:rFonts w:asciiTheme="minorHAnsi" w:hAnsiTheme="minorHAnsi" w:cs="Arial"/>
        </w:rPr>
        <w:t>measures to prevent infection</w:t>
      </w:r>
      <w:r w:rsidR="004372A8" w:rsidRPr="00555084">
        <w:rPr>
          <w:rFonts w:asciiTheme="minorHAnsi" w:hAnsiTheme="minorHAnsi" w:cs="Arial"/>
        </w:rPr>
        <w:t xml:space="preserve">, </w:t>
      </w:r>
      <w:r w:rsidR="00F73130" w:rsidRPr="00555084">
        <w:rPr>
          <w:rFonts w:asciiTheme="minorHAnsi" w:hAnsiTheme="minorHAnsi" w:cs="Arial"/>
        </w:rPr>
        <w:t xml:space="preserve">including </w:t>
      </w:r>
      <w:r w:rsidR="004372A8" w:rsidRPr="00555084">
        <w:rPr>
          <w:rFonts w:asciiTheme="minorHAnsi" w:hAnsiTheme="minorHAnsi" w:cs="Arial"/>
        </w:rPr>
        <w:t>vaccines.</w:t>
      </w:r>
      <w:r w:rsidR="00001915" w:rsidRPr="008A62DA">
        <w:rPr>
          <w:rFonts w:asciiTheme="minorHAnsi" w:hAnsiTheme="minorHAnsi" w:cs="Arial"/>
        </w:rPr>
        <w:br w:type="page"/>
      </w:r>
    </w:p>
    <w:tbl>
      <w:tblPr>
        <w:tblStyle w:val="TableGrid"/>
        <w:tblW w:w="0" w:type="auto"/>
        <w:shd w:val="clear" w:color="auto" w:fill="00B0F0"/>
        <w:tblLook w:val="00A0" w:firstRow="1" w:lastRow="0" w:firstColumn="1" w:lastColumn="0" w:noHBand="0" w:noVBand="0"/>
        <w:tblCaption w:val="Objective 5: Agree a national reserach agenda and promote investment in the discovery and development of new products and approaches to prevent, detect and contain AMR."/>
      </w:tblPr>
      <w:tblGrid>
        <w:gridCol w:w="9242"/>
      </w:tblGrid>
      <w:tr w:rsidR="004B457F" w:rsidRPr="00FA7F0A" w:rsidTr="00770146">
        <w:trPr>
          <w:tblHeader/>
        </w:trPr>
        <w:tc>
          <w:tcPr>
            <w:tcW w:w="9242" w:type="dxa"/>
            <w:shd w:val="clear" w:color="auto" w:fill="00B0F0"/>
          </w:tcPr>
          <w:p w:rsidR="004B457F" w:rsidRPr="00FA7F0A" w:rsidRDefault="004B457F" w:rsidP="00D41907">
            <w:pPr>
              <w:pStyle w:val="Heading2"/>
              <w:outlineLvl w:val="1"/>
              <w:rPr>
                <w:color w:val="215868" w:themeColor="accent5" w:themeShade="80"/>
              </w:rPr>
            </w:pPr>
            <w:bookmarkStart w:id="11" w:name="_Toc498070419"/>
            <w:r w:rsidRPr="00FA7F0A">
              <w:lastRenderedPageBreak/>
              <w:t xml:space="preserve">Objective 5: Agree a </w:t>
            </w:r>
            <w:r w:rsidRPr="00B50EBC">
              <w:t>national research agenda</w:t>
            </w:r>
            <w:r w:rsidRPr="00FA7F0A">
              <w:t xml:space="preserve"> and promote investment in the discovery and development of new products and approaches to prevent, detect and contain AMR.</w:t>
            </w:r>
            <w:bookmarkEnd w:id="11"/>
            <w:r w:rsidRPr="00FA7F0A">
              <w:t xml:space="preserve"> </w:t>
            </w:r>
          </w:p>
        </w:tc>
      </w:tr>
    </w:tbl>
    <w:p w:rsidR="00C02BAA" w:rsidRPr="006B469E" w:rsidRDefault="00C02BAA" w:rsidP="00C02BAA">
      <w:pPr>
        <w:rPr>
          <w:rFonts w:asciiTheme="minorHAnsi" w:hAnsiTheme="minorHAnsi"/>
        </w:rPr>
      </w:pPr>
    </w:p>
    <w:p w:rsidR="001478E0" w:rsidRPr="004146B6" w:rsidRDefault="001478E0" w:rsidP="00445D1A">
      <w:pPr>
        <w:pStyle w:val="Heading3"/>
      </w:pPr>
      <w:r w:rsidRPr="004146B6">
        <w:t>Introduction</w:t>
      </w:r>
    </w:p>
    <w:p w:rsidR="001478E0" w:rsidRPr="00F82124" w:rsidRDefault="007954C4" w:rsidP="008658F3">
      <w:pPr>
        <w:rPr>
          <w:rFonts w:asciiTheme="minorHAnsi" w:hAnsiTheme="minorHAnsi" w:cs="Arial"/>
        </w:rPr>
      </w:pPr>
      <w:r>
        <w:rPr>
          <w:rFonts w:asciiTheme="minorHAnsi" w:hAnsiTheme="minorHAnsi" w:cs="Arial"/>
        </w:rPr>
        <w:t xml:space="preserve">The </w:t>
      </w:r>
      <w:r w:rsidR="001478E0" w:rsidRPr="00F82124">
        <w:rPr>
          <w:rFonts w:asciiTheme="minorHAnsi" w:hAnsiTheme="minorHAnsi" w:cs="Arial"/>
        </w:rPr>
        <w:t>promot</w:t>
      </w:r>
      <w:r>
        <w:rPr>
          <w:rFonts w:asciiTheme="minorHAnsi" w:hAnsiTheme="minorHAnsi" w:cs="Arial"/>
        </w:rPr>
        <w:t>ion</w:t>
      </w:r>
      <w:r w:rsidR="001478E0" w:rsidRPr="00F82124">
        <w:rPr>
          <w:rFonts w:asciiTheme="minorHAnsi" w:hAnsiTheme="minorHAnsi" w:cs="Arial"/>
        </w:rPr>
        <w:t xml:space="preserve"> and prioritis</w:t>
      </w:r>
      <w:r>
        <w:rPr>
          <w:rFonts w:asciiTheme="minorHAnsi" w:hAnsiTheme="minorHAnsi" w:cs="Arial"/>
        </w:rPr>
        <w:t>ation of</w:t>
      </w:r>
      <w:r w:rsidR="001478E0" w:rsidRPr="00F82124">
        <w:rPr>
          <w:rFonts w:asciiTheme="minorHAnsi" w:hAnsiTheme="minorHAnsi" w:cs="Arial"/>
        </w:rPr>
        <w:t xml:space="preserve"> investment in</w:t>
      </w:r>
      <w:r>
        <w:rPr>
          <w:rFonts w:asciiTheme="minorHAnsi" w:hAnsiTheme="minorHAnsi" w:cs="Arial"/>
        </w:rPr>
        <w:t>to</w:t>
      </w:r>
      <w:r w:rsidR="001478E0" w:rsidRPr="00F82124">
        <w:rPr>
          <w:rFonts w:asciiTheme="minorHAnsi" w:hAnsiTheme="minorHAnsi" w:cs="Arial"/>
        </w:rPr>
        <w:t xml:space="preserve"> research and development, both domestically and internationally, will generate new products and approaches to prevent and respond </w:t>
      </w:r>
      <w:r w:rsidR="001478E0">
        <w:rPr>
          <w:rFonts w:asciiTheme="minorHAnsi" w:hAnsiTheme="minorHAnsi" w:cs="Arial"/>
        </w:rPr>
        <w:t xml:space="preserve">to AMR. </w:t>
      </w:r>
      <w:r>
        <w:rPr>
          <w:rFonts w:asciiTheme="minorHAnsi" w:hAnsiTheme="minorHAnsi" w:cs="Arial"/>
        </w:rPr>
        <w:t>Amongst other things, t</w:t>
      </w:r>
      <w:r w:rsidR="001478E0" w:rsidRPr="00F82124">
        <w:rPr>
          <w:rFonts w:asciiTheme="minorHAnsi" w:hAnsiTheme="minorHAnsi" w:cs="Arial"/>
        </w:rPr>
        <w:t>his includes basic molecular and genetic</w:t>
      </w:r>
      <w:r w:rsidR="00A52A46">
        <w:rPr>
          <w:rFonts w:asciiTheme="minorHAnsi" w:hAnsiTheme="minorHAnsi" w:cs="Arial"/>
        </w:rPr>
        <w:t xml:space="preserve"> </w:t>
      </w:r>
      <w:r w:rsidR="001478E0" w:rsidRPr="00F82124">
        <w:rPr>
          <w:rFonts w:asciiTheme="minorHAnsi" w:hAnsiTheme="minorHAnsi" w:cs="Arial"/>
        </w:rPr>
        <w:t>research lead</w:t>
      </w:r>
      <w:r>
        <w:rPr>
          <w:rFonts w:asciiTheme="minorHAnsi" w:hAnsiTheme="minorHAnsi" w:cs="Arial"/>
        </w:rPr>
        <w:t>ing</w:t>
      </w:r>
      <w:r w:rsidR="001478E0" w:rsidRPr="00F82124">
        <w:rPr>
          <w:rFonts w:asciiTheme="minorHAnsi" w:hAnsiTheme="minorHAnsi" w:cs="Arial"/>
        </w:rPr>
        <w:t xml:space="preserve"> to new therapeutic agents</w:t>
      </w:r>
      <w:r w:rsidR="00AA1B8F">
        <w:rPr>
          <w:rFonts w:asciiTheme="minorHAnsi" w:hAnsiTheme="minorHAnsi" w:cs="Arial"/>
        </w:rPr>
        <w:t>;</w:t>
      </w:r>
      <w:r w:rsidR="001478E0" w:rsidRPr="00F82124">
        <w:rPr>
          <w:rFonts w:asciiTheme="minorHAnsi" w:hAnsiTheme="minorHAnsi" w:cs="Arial"/>
        </w:rPr>
        <w:t xml:space="preserve"> rapid and point-of-care diagnostic technologies and vaccines; best-practice </w:t>
      </w:r>
      <w:r w:rsidR="001478E0">
        <w:rPr>
          <w:rFonts w:asciiTheme="minorHAnsi" w:hAnsiTheme="minorHAnsi" w:cs="Arial"/>
        </w:rPr>
        <w:t xml:space="preserve">antimicrobial stewardship, infection prevention and control </w:t>
      </w:r>
      <w:r w:rsidR="001478E0" w:rsidRPr="00F82124">
        <w:rPr>
          <w:rFonts w:asciiTheme="minorHAnsi" w:hAnsiTheme="minorHAnsi" w:cs="Arial"/>
        </w:rPr>
        <w:t>approaches</w:t>
      </w:r>
      <w:r w:rsidR="00AA1B8F">
        <w:rPr>
          <w:rFonts w:asciiTheme="minorHAnsi" w:hAnsiTheme="minorHAnsi" w:cs="Arial"/>
        </w:rPr>
        <w:t>;</w:t>
      </w:r>
      <w:r w:rsidR="001478E0" w:rsidRPr="00F82124">
        <w:rPr>
          <w:rFonts w:asciiTheme="minorHAnsi" w:hAnsiTheme="minorHAnsi" w:cs="Arial"/>
        </w:rPr>
        <w:t xml:space="preserve"> and clinical trials</w:t>
      </w:r>
      <w:r w:rsidR="001478E0">
        <w:rPr>
          <w:rFonts w:asciiTheme="minorHAnsi" w:hAnsiTheme="minorHAnsi" w:cs="Arial"/>
        </w:rPr>
        <w:t xml:space="preserve">. </w:t>
      </w:r>
      <w:r w:rsidR="001478E0" w:rsidRPr="00F82124">
        <w:rPr>
          <w:rFonts w:asciiTheme="minorHAnsi" w:hAnsiTheme="minorHAnsi" w:cs="Arial"/>
        </w:rPr>
        <w:t xml:space="preserve">Research into key messaging and the promotion of behaviour change </w:t>
      </w:r>
      <w:r w:rsidR="001478E0">
        <w:rPr>
          <w:rFonts w:asciiTheme="minorHAnsi" w:hAnsiTheme="minorHAnsi" w:cs="Arial"/>
        </w:rPr>
        <w:t>is</w:t>
      </w:r>
      <w:r w:rsidR="001478E0" w:rsidRPr="00F82124">
        <w:rPr>
          <w:rFonts w:asciiTheme="minorHAnsi" w:hAnsiTheme="minorHAnsi" w:cs="Arial"/>
        </w:rPr>
        <w:t xml:space="preserve"> also needed to </w:t>
      </w:r>
      <w:r w:rsidR="001478E0">
        <w:rPr>
          <w:rFonts w:asciiTheme="minorHAnsi" w:hAnsiTheme="minorHAnsi" w:cs="Arial"/>
        </w:rPr>
        <w:t>reduce antibiotic over- and mis</w:t>
      </w:r>
      <w:r w:rsidR="00AA1B8F">
        <w:rPr>
          <w:rFonts w:asciiTheme="minorHAnsi" w:hAnsiTheme="minorHAnsi" w:cs="Arial"/>
        </w:rPr>
        <w:t>-</w:t>
      </w:r>
      <w:r w:rsidR="001478E0">
        <w:rPr>
          <w:rFonts w:asciiTheme="minorHAnsi" w:hAnsiTheme="minorHAnsi" w:cs="Arial"/>
        </w:rPr>
        <w:t xml:space="preserve">use and </w:t>
      </w:r>
      <w:r w:rsidR="0036546A">
        <w:rPr>
          <w:rFonts w:asciiTheme="minorHAnsi" w:hAnsiTheme="minorHAnsi" w:cs="Arial"/>
        </w:rPr>
        <w:t xml:space="preserve">to </w:t>
      </w:r>
      <w:r w:rsidR="001478E0" w:rsidRPr="00F82124">
        <w:rPr>
          <w:rFonts w:asciiTheme="minorHAnsi" w:hAnsiTheme="minorHAnsi" w:cs="Arial"/>
        </w:rPr>
        <w:t>ensure existing treatments remain effective for as long as possible.</w:t>
      </w:r>
    </w:p>
    <w:p w:rsidR="001478E0" w:rsidRPr="002D0926" w:rsidRDefault="001478E0" w:rsidP="008658F3">
      <w:pPr>
        <w:rPr>
          <w:rFonts w:asciiTheme="minorHAnsi" w:hAnsiTheme="minorHAnsi" w:cs="Arial"/>
        </w:rPr>
      </w:pPr>
    </w:p>
    <w:p w:rsidR="001478E0" w:rsidRPr="004146B6" w:rsidRDefault="001478E0" w:rsidP="00445D1A">
      <w:pPr>
        <w:pStyle w:val="Heading3"/>
      </w:pPr>
      <w:r w:rsidRPr="004146B6">
        <w:t>What have we achieved?</w:t>
      </w:r>
    </w:p>
    <w:p w:rsidR="00F85AA1" w:rsidRPr="00AE0291" w:rsidRDefault="00F85AA1" w:rsidP="00445D1A">
      <w:pPr>
        <w:pStyle w:val="Heading4"/>
      </w:pPr>
      <w:r w:rsidRPr="00AE0291">
        <w:t>One Health</w:t>
      </w:r>
    </w:p>
    <w:p w:rsidR="00F85AA1" w:rsidRDefault="00F85AA1" w:rsidP="00D43418">
      <w:pPr>
        <w:pStyle w:val="ListParagraph"/>
        <w:numPr>
          <w:ilvl w:val="0"/>
          <w:numId w:val="19"/>
        </w:numPr>
        <w:spacing w:after="120"/>
        <w:contextualSpacing w:val="0"/>
        <w:rPr>
          <w:rFonts w:asciiTheme="minorHAnsi" w:hAnsiTheme="minorHAnsi" w:cs="Arial"/>
        </w:rPr>
      </w:pPr>
      <w:r w:rsidRPr="007F12A1">
        <w:rPr>
          <w:rFonts w:asciiTheme="minorHAnsi" w:hAnsiTheme="minorHAnsi" w:cs="Arial"/>
        </w:rPr>
        <w:t>Macquarie University and the University of Sydney have undertaken research in marine vertebrates to correlate mobile genetic elements and resistance gene carriage in isolates from humans to those from marine wildlife. The research is expected to be complete by 2020.</w:t>
      </w:r>
    </w:p>
    <w:p w:rsidR="00F85AA1" w:rsidRPr="00D43418" w:rsidRDefault="00F85AA1" w:rsidP="00D43418">
      <w:pPr>
        <w:pStyle w:val="ListParagraph"/>
        <w:numPr>
          <w:ilvl w:val="0"/>
          <w:numId w:val="19"/>
        </w:numPr>
        <w:spacing w:after="120"/>
        <w:contextualSpacing w:val="0"/>
        <w:rPr>
          <w:rFonts w:asciiTheme="minorHAnsi" w:hAnsiTheme="minorHAnsi" w:cs="Arial"/>
        </w:rPr>
      </w:pPr>
      <w:r w:rsidRPr="00D43418">
        <w:rPr>
          <w:rFonts w:asciiTheme="minorHAnsi" w:hAnsiTheme="minorHAnsi" w:cs="Arial"/>
        </w:rPr>
        <w:t>Murdoch University (</w:t>
      </w:r>
      <w:r w:rsidR="007E7E4E">
        <w:rPr>
          <w:rFonts w:asciiTheme="minorHAnsi" w:hAnsiTheme="minorHAnsi" w:cs="Arial"/>
        </w:rPr>
        <w:t>AMR</w:t>
      </w:r>
      <w:r w:rsidRPr="00D43418">
        <w:rPr>
          <w:rFonts w:asciiTheme="minorHAnsi" w:hAnsiTheme="minorHAnsi" w:cs="Arial"/>
        </w:rPr>
        <w:t xml:space="preserve"> and Infectious Diseases laboratory) is undertaking a </w:t>
      </w:r>
      <w:r w:rsidRPr="00D43418">
        <w:rPr>
          <w:rFonts w:asciiTheme="minorHAnsi" w:hAnsiTheme="minorHAnsi" w:cs="Arial"/>
          <w:i/>
        </w:rPr>
        <w:t>Cross sectional study on the carriage of critically important antimicrobial resistant E.</w:t>
      </w:r>
      <w:r w:rsidR="00AA1B8F">
        <w:rPr>
          <w:rFonts w:asciiTheme="minorHAnsi" w:hAnsiTheme="minorHAnsi" w:cs="Arial"/>
          <w:i/>
        </w:rPr>
        <w:t> </w:t>
      </w:r>
      <w:r w:rsidRPr="00D43418">
        <w:rPr>
          <w:rFonts w:asciiTheme="minorHAnsi" w:hAnsiTheme="minorHAnsi" w:cs="Arial"/>
          <w:i/>
        </w:rPr>
        <w:t>coli from urban seagull populations in Australia</w:t>
      </w:r>
      <w:r w:rsidRPr="00D43418">
        <w:rPr>
          <w:rFonts w:asciiTheme="minorHAnsi" w:hAnsiTheme="minorHAnsi" w:cs="Arial"/>
        </w:rPr>
        <w:t xml:space="preserve">. This cross-sectional study will specifically detect the carriage of </w:t>
      </w:r>
      <w:r w:rsidRPr="00D43418">
        <w:rPr>
          <w:rFonts w:asciiTheme="minorHAnsi" w:hAnsiTheme="minorHAnsi" w:cs="Arial"/>
          <w:i/>
        </w:rPr>
        <w:t>E.</w:t>
      </w:r>
      <w:r w:rsidR="00AA1B8F">
        <w:rPr>
          <w:rFonts w:asciiTheme="minorHAnsi" w:hAnsiTheme="minorHAnsi" w:cs="Arial"/>
          <w:i/>
        </w:rPr>
        <w:t> </w:t>
      </w:r>
      <w:r w:rsidRPr="00D43418">
        <w:rPr>
          <w:rFonts w:asciiTheme="minorHAnsi" w:hAnsiTheme="minorHAnsi" w:cs="Arial"/>
          <w:i/>
        </w:rPr>
        <w:t>coli</w:t>
      </w:r>
      <w:r w:rsidRPr="00D43418">
        <w:rPr>
          <w:rFonts w:asciiTheme="minorHAnsi" w:hAnsiTheme="minorHAnsi" w:cs="Arial"/>
        </w:rPr>
        <w:t xml:space="preserve"> resistance to fluoroquinolones, third</w:t>
      </w:r>
      <w:r w:rsidR="00AA1B8F">
        <w:rPr>
          <w:rFonts w:asciiTheme="minorHAnsi" w:hAnsiTheme="minorHAnsi" w:cs="Arial"/>
        </w:rPr>
        <w:t>-</w:t>
      </w:r>
      <w:r w:rsidRPr="00D43418">
        <w:rPr>
          <w:rFonts w:asciiTheme="minorHAnsi" w:hAnsiTheme="minorHAnsi" w:cs="Arial"/>
        </w:rPr>
        <w:t>generation cephalosporins and carbapenems. Outcomes of the study are expected to be completed by early 2018.</w:t>
      </w:r>
    </w:p>
    <w:p w:rsidR="00EA78AA" w:rsidRPr="00AE0291" w:rsidRDefault="00EA78AA" w:rsidP="00445D1A">
      <w:pPr>
        <w:pStyle w:val="Heading4"/>
      </w:pPr>
      <w:r w:rsidRPr="00AE0291">
        <w:t>Human Health</w:t>
      </w:r>
    </w:p>
    <w:p w:rsidR="001478E0" w:rsidRDefault="001478E0" w:rsidP="00F85AA1">
      <w:pPr>
        <w:pStyle w:val="ListParagraph"/>
        <w:numPr>
          <w:ilvl w:val="0"/>
          <w:numId w:val="19"/>
        </w:numPr>
        <w:spacing w:after="120"/>
        <w:contextualSpacing w:val="0"/>
        <w:rPr>
          <w:rFonts w:asciiTheme="minorHAnsi" w:hAnsiTheme="minorHAnsi" w:cs="Arial"/>
        </w:rPr>
      </w:pPr>
      <w:r>
        <w:rPr>
          <w:rFonts w:asciiTheme="minorHAnsi" w:hAnsiTheme="minorHAnsi" w:cs="Arial"/>
        </w:rPr>
        <w:t>Investment in AMR research and development in Australia remains strong, with over $90 million in active National Health and Medical Research Council (NHMRC) grants as at Apr</w:t>
      </w:r>
      <w:r w:rsidR="00502DA2">
        <w:rPr>
          <w:rFonts w:asciiTheme="minorHAnsi" w:hAnsiTheme="minorHAnsi" w:cs="Arial"/>
        </w:rPr>
        <w:t>il 2017. Research categories include</w:t>
      </w:r>
      <w:r>
        <w:rPr>
          <w:rFonts w:asciiTheme="minorHAnsi" w:hAnsiTheme="minorHAnsi" w:cs="Arial"/>
        </w:rPr>
        <w:t>: the development and biology of AMR ($28 million across 38 grants); the spread and surveillance of AMR ($1 million across 3 grants); antimicrobial stewardship ($13.1 million across 15 grants); health services research ($31.7 million across 25 grants); the development of rapid and/or point of care diagnostics ($2.1 million across four grants); and the development of new antimicrobials and/or novel therapies ($16 million across 20 grants).</w:t>
      </w:r>
    </w:p>
    <w:p w:rsidR="001866D7" w:rsidRDefault="001478E0" w:rsidP="00F85AA1">
      <w:pPr>
        <w:pStyle w:val="ListParagraph"/>
        <w:numPr>
          <w:ilvl w:val="0"/>
          <w:numId w:val="19"/>
        </w:numPr>
        <w:spacing w:after="120"/>
        <w:contextualSpacing w:val="0"/>
        <w:rPr>
          <w:rFonts w:asciiTheme="minorHAnsi" w:hAnsiTheme="minorHAnsi" w:cs="Arial"/>
        </w:rPr>
      </w:pPr>
      <w:r w:rsidRPr="00F85AA1">
        <w:rPr>
          <w:rFonts w:asciiTheme="minorHAnsi" w:hAnsiTheme="minorHAnsi" w:cs="Arial"/>
        </w:rPr>
        <w:t xml:space="preserve">The </w:t>
      </w:r>
      <w:r w:rsidRPr="00E25000">
        <w:rPr>
          <w:rFonts w:asciiTheme="minorHAnsi" w:hAnsiTheme="minorHAnsi" w:cs="Arial"/>
          <w:i/>
        </w:rPr>
        <w:t>Australian Medical Research and Innovation Priorities 2016-2018</w:t>
      </w:r>
      <w:r w:rsidRPr="00F85AA1">
        <w:rPr>
          <w:rFonts w:asciiTheme="minorHAnsi" w:hAnsiTheme="minorHAnsi" w:cs="Arial"/>
        </w:rPr>
        <w:t xml:space="preserve"> identified AMR as a research priority for the Medical Research Future Fund (MRFF) for the years 2016-2017 and 2017-2018. The 2016-2017 MRFF allocation for AMR research was $5.9 million.</w:t>
      </w:r>
      <w:r w:rsidR="000316E0" w:rsidRPr="00F85AA1">
        <w:rPr>
          <w:rFonts w:asciiTheme="minorHAnsi" w:hAnsiTheme="minorHAnsi" w:cs="Arial"/>
        </w:rPr>
        <w:t xml:space="preserve"> </w:t>
      </w:r>
      <w:r w:rsidR="00AA1B8F">
        <w:rPr>
          <w:rFonts w:asciiTheme="minorHAnsi" w:hAnsiTheme="minorHAnsi" w:cs="Arial"/>
        </w:rPr>
        <w:t>An</w:t>
      </w:r>
      <w:r w:rsidR="000316E0" w:rsidRPr="00F85AA1">
        <w:rPr>
          <w:rFonts w:asciiTheme="minorHAnsi" w:hAnsiTheme="minorHAnsi" w:cs="Arial"/>
        </w:rPr>
        <w:t xml:space="preserve"> AMR Targeted Call for Research aims to stimulate research on novel and innovative methodologies, such as genomics, to determine AMR profiles and transmission within and to/from aged care </w:t>
      </w:r>
      <w:r w:rsidR="00AA1B8F">
        <w:rPr>
          <w:rFonts w:asciiTheme="minorHAnsi" w:hAnsiTheme="minorHAnsi" w:cs="Arial"/>
        </w:rPr>
        <w:t>homes</w:t>
      </w:r>
      <w:r w:rsidR="000316E0" w:rsidRPr="00F85AA1">
        <w:rPr>
          <w:rFonts w:asciiTheme="minorHAnsi" w:hAnsiTheme="minorHAnsi" w:cs="Arial"/>
        </w:rPr>
        <w:t>.</w:t>
      </w:r>
    </w:p>
    <w:p w:rsidR="001866D7" w:rsidRDefault="001866D7">
      <w:pPr>
        <w:rPr>
          <w:rFonts w:asciiTheme="minorHAnsi" w:hAnsiTheme="minorHAnsi" w:cs="Arial"/>
        </w:rPr>
      </w:pPr>
      <w:r>
        <w:rPr>
          <w:rFonts w:asciiTheme="minorHAnsi" w:hAnsiTheme="minorHAnsi" w:cs="Arial"/>
        </w:rPr>
        <w:br w:type="page"/>
      </w:r>
    </w:p>
    <w:p w:rsidR="001478E0" w:rsidRDefault="001478E0" w:rsidP="00F85AA1">
      <w:pPr>
        <w:pStyle w:val="ListParagraph"/>
        <w:numPr>
          <w:ilvl w:val="0"/>
          <w:numId w:val="19"/>
        </w:numPr>
        <w:spacing w:after="120"/>
        <w:contextualSpacing w:val="0"/>
        <w:rPr>
          <w:rFonts w:asciiTheme="minorHAnsi" w:hAnsiTheme="minorHAnsi" w:cs="Arial"/>
        </w:rPr>
      </w:pPr>
      <w:r w:rsidRPr="001544FC">
        <w:rPr>
          <w:rFonts w:asciiTheme="minorHAnsi" w:hAnsiTheme="minorHAnsi" w:cs="Arial"/>
        </w:rPr>
        <w:lastRenderedPageBreak/>
        <w:t xml:space="preserve">The </w:t>
      </w:r>
      <w:r>
        <w:rPr>
          <w:rFonts w:asciiTheme="minorHAnsi" w:hAnsiTheme="minorHAnsi" w:cs="Arial"/>
        </w:rPr>
        <w:t xml:space="preserve">NHMRC’s </w:t>
      </w:r>
      <w:r w:rsidRPr="001544FC">
        <w:rPr>
          <w:rFonts w:asciiTheme="minorHAnsi" w:hAnsiTheme="minorHAnsi" w:cs="Arial"/>
        </w:rPr>
        <w:t>Centres of Research</w:t>
      </w:r>
      <w:r>
        <w:rPr>
          <w:rFonts w:asciiTheme="minorHAnsi" w:hAnsiTheme="minorHAnsi" w:cs="Arial"/>
        </w:rPr>
        <w:t xml:space="preserve"> Excellence (CRE) scheme is providing</w:t>
      </w:r>
      <w:r w:rsidRPr="001544FC">
        <w:rPr>
          <w:rFonts w:asciiTheme="minorHAnsi" w:hAnsiTheme="minorHAnsi" w:cs="Arial"/>
        </w:rPr>
        <w:t xml:space="preserve"> support for teams of researchers to pursue collaborative research and develop capacity in </w:t>
      </w:r>
      <w:r>
        <w:rPr>
          <w:rFonts w:asciiTheme="minorHAnsi" w:hAnsiTheme="minorHAnsi" w:cs="Arial"/>
        </w:rPr>
        <w:t>different aspects of the AMR response. Examples include:</w:t>
      </w:r>
    </w:p>
    <w:p w:rsidR="001478E0" w:rsidRPr="00EF34D9" w:rsidRDefault="001478E0" w:rsidP="00C579B6">
      <w:pPr>
        <w:pStyle w:val="ListParagraph"/>
        <w:numPr>
          <w:ilvl w:val="1"/>
          <w:numId w:val="19"/>
        </w:numPr>
        <w:spacing w:after="120"/>
        <w:contextualSpacing w:val="0"/>
        <w:rPr>
          <w:rFonts w:asciiTheme="minorHAnsi" w:hAnsiTheme="minorHAnsi" w:cs="Arial"/>
        </w:rPr>
      </w:pPr>
      <w:r w:rsidRPr="00EF34D9">
        <w:rPr>
          <w:rFonts w:asciiTheme="minorHAnsi" w:hAnsiTheme="minorHAnsi" w:cs="Arial"/>
        </w:rPr>
        <w:t>the Centre of Research Excellence in Reducing Healthcare Associated Infection</w:t>
      </w:r>
      <w:r w:rsidR="00866C6C">
        <w:rPr>
          <w:rFonts w:asciiTheme="minorHAnsi" w:hAnsiTheme="minorHAnsi" w:cs="Arial"/>
        </w:rPr>
        <w:t xml:space="preserve"> (RHAI)</w:t>
      </w:r>
      <w:r>
        <w:rPr>
          <w:rFonts w:asciiTheme="minorHAnsi" w:hAnsiTheme="minorHAnsi" w:cs="Arial"/>
        </w:rPr>
        <w:t xml:space="preserve"> is focused</w:t>
      </w:r>
      <w:r w:rsidRPr="00EF34D9">
        <w:rPr>
          <w:rFonts w:asciiTheme="minorHAnsi" w:hAnsiTheme="minorHAnsi" w:cs="Arial"/>
        </w:rPr>
        <w:t xml:space="preserve"> on generating new knowledge about strategies to reduce healthcare associated infections and providing data on the cost-effectiveness of infection control programs</w:t>
      </w:r>
      <w:r>
        <w:rPr>
          <w:rFonts w:asciiTheme="minorHAnsi" w:hAnsiTheme="minorHAnsi" w:cs="Arial"/>
        </w:rPr>
        <w:t>. The RHAI have developed a model to estimate country-level health and economic impacts of five key drug-resistant infections in Australia</w:t>
      </w:r>
      <w:r w:rsidRPr="00EF34D9">
        <w:rPr>
          <w:rFonts w:asciiTheme="minorHAnsi" w:hAnsiTheme="minorHAnsi" w:cs="Arial"/>
        </w:rPr>
        <w:t xml:space="preserve"> (Queensland University of Technology);</w:t>
      </w:r>
    </w:p>
    <w:p w:rsidR="001478E0" w:rsidRPr="00EF34D9" w:rsidRDefault="001478E0" w:rsidP="00C579B6">
      <w:pPr>
        <w:pStyle w:val="ListParagraph"/>
        <w:numPr>
          <w:ilvl w:val="1"/>
          <w:numId w:val="19"/>
        </w:numPr>
        <w:spacing w:after="120"/>
        <w:contextualSpacing w:val="0"/>
        <w:rPr>
          <w:rFonts w:asciiTheme="minorHAnsi" w:hAnsiTheme="minorHAnsi" w:cs="Arial"/>
        </w:rPr>
      </w:pPr>
      <w:r w:rsidRPr="00EF34D9">
        <w:rPr>
          <w:rFonts w:asciiTheme="minorHAnsi" w:hAnsiTheme="minorHAnsi" w:cs="Arial"/>
        </w:rPr>
        <w:t>the National Centre for Antimicrobial Stewardship</w:t>
      </w:r>
      <w:r>
        <w:rPr>
          <w:rFonts w:asciiTheme="minorHAnsi" w:hAnsiTheme="minorHAnsi" w:cs="Arial"/>
        </w:rPr>
        <w:t xml:space="preserve"> (NCAS)</w:t>
      </w:r>
      <w:r w:rsidRPr="00EF34D9">
        <w:rPr>
          <w:rFonts w:asciiTheme="minorHAnsi" w:hAnsiTheme="minorHAnsi" w:cs="Arial"/>
        </w:rPr>
        <w:t xml:space="preserve"> is investigating the evidence gaps in what is known about the relationships between antibiotic use in humans and animals and antibiotic resistance</w:t>
      </w:r>
      <w:r>
        <w:rPr>
          <w:rFonts w:asciiTheme="minorHAnsi" w:hAnsiTheme="minorHAnsi" w:cs="Arial"/>
        </w:rPr>
        <w:t>. The NCAS, at the University of Melbourne, has established AMR research collaborations with the University of Queensland, the Queensland University of Technology, Bond University, the Australian Commission on Safety and Quality in Health Care, the Royal Australian College of General Practitioners and the Australian Government Department of Health with the aim of linking content experts with implementation experts</w:t>
      </w:r>
      <w:r w:rsidRPr="00EF34D9">
        <w:rPr>
          <w:rFonts w:asciiTheme="minorHAnsi" w:hAnsiTheme="minorHAnsi" w:cs="Arial"/>
        </w:rPr>
        <w:t xml:space="preserve">; </w:t>
      </w:r>
    </w:p>
    <w:p w:rsidR="001478E0" w:rsidRPr="00EF34D9" w:rsidRDefault="001478E0" w:rsidP="00C579B6">
      <w:pPr>
        <w:pStyle w:val="ListParagraph"/>
        <w:numPr>
          <w:ilvl w:val="1"/>
          <w:numId w:val="19"/>
        </w:numPr>
        <w:spacing w:after="120"/>
        <w:contextualSpacing w:val="0"/>
        <w:rPr>
          <w:rFonts w:asciiTheme="minorHAnsi" w:hAnsiTheme="minorHAnsi" w:cs="Arial"/>
        </w:rPr>
      </w:pPr>
      <w:r w:rsidRPr="00EF34D9">
        <w:rPr>
          <w:rFonts w:asciiTheme="minorHAnsi" w:hAnsiTheme="minorHAnsi" w:cs="Arial"/>
        </w:rPr>
        <w:t>the Centre for REdefining antibiotic use to reDUce ResistanCE and Prolong the Lives of Antibiotics (REDUCE)</w:t>
      </w:r>
      <w:r>
        <w:rPr>
          <w:rFonts w:asciiTheme="minorHAnsi" w:hAnsiTheme="minorHAnsi" w:cs="Arial"/>
        </w:rPr>
        <w:t>, is focused</w:t>
      </w:r>
      <w:r w:rsidRPr="00EF34D9">
        <w:rPr>
          <w:rFonts w:asciiTheme="minorHAnsi" w:hAnsiTheme="minorHAnsi" w:cs="Arial"/>
        </w:rPr>
        <w:t xml:space="preserve"> on research to prolong the clinical utility of antimicrobials and on finding new ways to treat conditions when current antibiotics stop working (University of Queensland);</w:t>
      </w:r>
    </w:p>
    <w:p w:rsidR="001478E0" w:rsidRPr="00EF34D9" w:rsidRDefault="001478E0" w:rsidP="00C579B6">
      <w:pPr>
        <w:pStyle w:val="ListParagraph"/>
        <w:numPr>
          <w:ilvl w:val="1"/>
          <w:numId w:val="19"/>
        </w:numPr>
        <w:spacing w:after="120"/>
        <w:contextualSpacing w:val="0"/>
        <w:rPr>
          <w:rFonts w:asciiTheme="minorHAnsi" w:hAnsiTheme="minorHAnsi" w:cs="Arial"/>
        </w:rPr>
      </w:pPr>
      <w:r w:rsidRPr="00EF34D9">
        <w:rPr>
          <w:rFonts w:asciiTheme="minorHAnsi" w:hAnsiTheme="minorHAnsi" w:cs="Arial"/>
        </w:rPr>
        <w:t>the Centre of Research Excellence in Minimising Antibiotic Resistance for Acute Respiratory Infections (CREMARA)</w:t>
      </w:r>
      <w:r>
        <w:rPr>
          <w:rFonts w:asciiTheme="minorHAnsi" w:hAnsiTheme="minorHAnsi" w:cs="Arial"/>
        </w:rPr>
        <w:t xml:space="preserve"> undertakes</w:t>
      </w:r>
      <w:r w:rsidRPr="00EF34D9">
        <w:rPr>
          <w:rFonts w:asciiTheme="minorHAnsi" w:hAnsiTheme="minorHAnsi" w:cs="Arial"/>
        </w:rPr>
        <w:t xml:space="preserve"> research into the potentially reversible factors that give rise to antibiotic resistance from antibiotic prescribing for acute respiratory infections (Bond University); and</w:t>
      </w:r>
    </w:p>
    <w:p w:rsidR="00E9239B" w:rsidRPr="00CA0447" w:rsidRDefault="00E9239B" w:rsidP="00C579B6">
      <w:pPr>
        <w:pStyle w:val="ListParagraph"/>
        <w:numPr>
          <w:ilvl w:val="1"/>
          <w:numId w:val="19"/>
        </w:numPr>
        <w:spacing w:after="120"/>
        <w:contextualSpacing w:val="0"/>
        <w:rPr>
          <w:rFonts w:asciiTheme="minorHAnsi" w:hAnsiTheme="minorHAnsi" w:cs="Arial"/>
        </w:rPr>
      </w:pPr>
      <w:r w:rsidRPr="00CA0447">
        <w:rPr>
          <w:rFonts w:asciiTheme="minorHAnsi" w:hAnsiTheme="minorHAnsi" w:cs="Arial"/>
        </w:rPr>
        <w:t xml:space="preserve">the </w:t>
      </w:r>
      <w:hyperlink r:id="rId23" w:history="1">
        <w:r w:rsidRPr="00CA0447">
          <w:rPr>
            <w:rFonts w:asciiTheme="minorHAnsi" w:hAnsiTheme="minorHAnsi" w:cs="Arial"/>
          </w:rPr>
          <w:t>Centre of Research Excellence in Protecting the Public from Emerging Infectious Diseases</w:t>
        </w:r>
      </w:hyperlink>
      <w:r w:rsidRPr="00CA0447">
        <w:rPr>
          <w:rFonts w:asciiTheme="minorHAnsi" w:hAnsiTheme="minorHAnsi" w:cs="Arial"/>
        </w:rPr>
        <w:t xml:space="preserve"> (CREID) researches emerging and re-emerging infectious diseases to protect Australia and our region from emerging infectious disease threats.</w:t>
      </w:r>
    </w:p>
    <w:p w:rsidR="001478E0" w:rsidRDefault="001478E0" w:rsidP="0029797C">
      <w:pPr>
        <w:pStyle w:val="ListParagraph"/>
        <w:numPr>
          <w:ilvl w:val="0"/>
          <w:numId w:val="19"/>
        </w:numPr>
        <w:spacing w:after="120"/>
        <w:contextualSpacing w:val="0"/>
        <w:rPr>
          <w:rFonts w:asciiTheme="minorHAnsi" w:hAnsiTheme="minorHAnsi" w:cs="Arial"/>
        </w:rPr>
      </w:pPr>
      <w:r w:rsidRPr="007F12A1">
        <w:rPr>
          <w:rFonts w:asciiTheme="minorHAnsi" w:hAnsiTheme="minorHAnsi" w:cs="Arial"/>
        </w:rPr>
        <w:t>The Institute for Molecular Biosciences at the University of Queensland is undertaking research to discover new compounds with antimicrobial properties. Through the Community for Open Antimicrobial Drug Discovery, the Institute is testing over 200,000 compounds, received from over 200 academic groups in 40 countries</w:t>
      </w:r>
      <w:r w:rsidR="00B54AAE">
        <w:rPr>
          <w:rFonts w:asciiTheme="minorHAnsi" w:hAnsiTheme="minorHAnsi" w:cs="Arial"/>
        </w:rPr>
        <w:t>,</w:t>
      </w:r>
      <w:r w:rsidRPr="007F12A1">
        <w:rPr>
          <w:rFonts w:asciiTheme="minorHAnsi" w:hAnsiTheme="minorHAnsi" w:cs="Arial"/>
        </w:rPr>
        <w:t xml:space="preserve"> for nove</w:t>
      </w:r>
      <w:bookmarkStart w:id="12" w:name="_GoBack"/>
      <w:bookmarkEnd w:id="12"/>
      <w:r w:rsidRPr="007F12A1">
        <w:rPr>
          <w:rFonts w:asciiTheme="minorHAnsi" w:hAnsiTheme="minorHAnsi" w:cs="Arial"/>
        </w:rPr>
        <w:t>l antimicrobial properties.</w:t>
      </w:r>
    </w:p>
    <w:p w:rsidR="0029797C" w:rsidRDefault="0029797C" w:rsidP="0029797C">
      <w:pPr>
        <w:pStyle w:val="ListParagraph"/>
        <w:numPr>
          <w:ilvl w:val="0"/>
          <w:numId w:val="19"/>
        </w:numPr>
        <w:spacing w:after="120"/>
        <w:contextualSpacing w:val="0"/>
        <w:rPr>
          <w:rFonts w:asciiTheme="minorHAnsi" w:hAnsiTheme="minorHAnsi" w:cs="Arial"/>
        </w:rPr>
      </w:pPr>
      <w:r>
        <w:rPr>
          <w:rFonts w:asciiTheme="minorHAnsi" w:hAnsiTheme="minorHAnsi" w:cs="Arial"/>
        </w:rPr>
        <w:t>I</w:t>
      </w:r>
      <w:r w:rsidRPr="006F16FF">
        <w:rPr>
          <w:rFonts w:asciiTheme="minorHAnsi" w:hAnsiTheme="minorHAnsi" w:cs="Arial"/>
        </w:rPr>
        <w:t xml:space="preserve">nternational research collaboratives and Product Development Partnerships </w:t>
      </w:r>
      <w:r>
        <w:rPr>
          <w:rFonts w:asciiTheme="minorHAnsi" w:hAnsiTheme="minorHAnsi" w:cs="Arial"/>
        </w:rPr>
        <w:t>(PDPs) have been established that</w:t>
      </w:r>
      <w:r w:rsidRPr="006F16FF">
        <w:rPr>
          <w:rFonts w:asciiTheme="minorHAnsi" w:hAnsiTheme="minorHAnsi" w:cs="Arial"/>
        </w:rPr>
        <w:t xml:space="preserve"> support global research and development in new antimicrobial treatments and technologies, such as ra</w:t>
      </w:r>
      <w:r>
        <w:rPr>
          <w:rFonts w:asciiTheme="minorHAnsi" w:hAnsiTheme="minorHAnsi" w:cs="Arial"/>
        </w:rPr>
        <w:t>pid, point-of-care diagnostics. Australia is active in consultations to establish the aims and objectives of these initiatives, and is looking for opportunities to become involved in internationally coordinated research programs.</w:t>
      </w:r>
    </w:p>
    <w:p w:rsidR="0029797C" w:rsidRPr="0029797C" w:rsidRDefault="0029797C" w:rsidP="0029797C">
      <w:pPr>
        <w:ind w:left="360"/>
      </w:pPr>
      <w:r w:rsidRPr="00C579B6">
        <w:rPr>
          <w:noProof/>
          <w:lang w:eastAsia="en-AU"/>
        </w:rPr>
        <w:lastRenderedPageBreak/>
        <mc:AlternateContent>
          <mc:Choice Requires="wps">
            <w:drawing>
              <wp:inline distT="0" distB="0" distL="0" distR="0" wp14:anchorId="112B4788" wp14:editId="4463E74D">
                <wp:extent cx="5991225" cy="3695700"/>
                <wp:effectExtent l="0" t="0" r="28575"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3695700"/>
                        </a:xfrm>
                        <a:prstGeom prst="rect">
                          <a:avLst/>
                        </a:prstGeom>
                        <a:solidFill>
                          <a:srgbClr val="FFFFFF"/>
                        </a:solidFill>
                        <a:ln w="9525">
                          <a:solidFill>
                            <a:srgbClr val="000000"/>
                          </a:solidFill>
                          <a:miter lim="800000"/>
                          <a:headEnd/>
                          <a:tailEnd/>
                        </a:ln>
                      </wps:spPr>
                      <wps:txbx>
                        <w:txbxContent>
                          <w:p w:rsidR="00422660" w:rsidRDefault="00422660" w:rsidP="0029797C">
                            <w:pPr>
                              <w:rPr>
                                <w:rFonts w:asciiTheme="minorHAnsi" w:hAnsiTheme="minorHAnsi" w:cs="Arial"/>
                                <w:i/>
                              </w:rPr>
                            </w:pPr>
                            <w:r w:rsidRPr="00676AA7">
                              <w:rPr>
                                <w:rFonts w:asciiTheme="minorHAnsi" w:hAnsiTheme="minorHAnsi" w:cs="Arial"/>
                                <w:i/>
                              </w:rPr>
                              <w:t>Australia is investing $30 million over three years (2015-</w:t>
                            </w:r>
                            <w:r>
                              <w:rPr>
                                <w:rFonts w:asciiTheme="minorHAnsi" w:hAnsiTheme="minorHAnsi" w:cs="Arial"/>
                                <w:i/>
                              </w:rPr>
                              <w:t>20</w:t>
                            </w:r>
                            <w:r w:rsidRPr="00676AA7">
                              <w:rPr>
                                <w:rFonts w:asciiTheme="minorHAnsi" w:hAnsiTheme="minorHAnsi" w:cs="Arial"/>
                                <w:i/>
                              </w:rPr>
                              <w:t>17) to support research and development on tuberculosis (TB), including drug-resistant strains, and malaria in our region via three PDPs: Global Alliance for TB Drug Development (TB Alliance); Foundation for Innovative New Diagnostics (FIND); and Medicines for Malaria Venture (MMV)</w:t>
                            </w:r>
                            <w:r>
                              <w:rPr>
                                <w:rFonts w:asciiTheme="minorHAnsi" w:hAnsiTheme="minorHAnsi" w:cs="Arial"/>
                                <w:i/>
                              </w:rPr>
                              <w:t>.</w:t>
                            </w:r>
                          </w:p>
                          <w:p w:rsidR="00422660" w:rsidRPr="00676AA7" w:rsidRDefault="00422660" w:rsidP="0029797C">
                            <w:pPr>
                              <w:rPr>
                                <w:rFonts w:asciiTheme="minorHAnsi" w:hAnsiTheme="minorHAnsi" w:cs="Arial"/>
                                <w:i/>
                              </w:rPr>
                            </w:pPr>
                          </w:p>
                          <w:p w:rsidR="00422660" w:rsidRDefault="00422660" w:rsidP="0029797C">
                            <w:pPr>
                              <w:rPr>
                                <w:rFonts w:asciiTheme="minorHAnsi" w:hAnsiTheme="minorHAnsi" w:cs="Arial"/>
                                <w:i/>
                              </w:rPr>
                            </w:pPr>
                            <w:r>
                              <w:rPr>
                                <w:rFonts w:asciiTheme="minorHAnsi" w:hAnsiTheme="minorHAnsi" w:cs="Arial"/>
                                <w:i/>
                              </w:rPr>
                              <w:t>W</w:t>
                            </w:r>
                            <w:r w:rsidRPr="00676AA7">
                              <w:rPr>
                                <w:rFonts w:asciiTheme="minorHAnsi" w:hAnsiTheme="minorHAnsi" w:cs="Arial"/>
                                <w:i/>
                              </w:rPr>
                              <w:t xml:space="preserve">e </w:t>
                            </w:r>
                            <w:r>
                              <w:rPr>
                                <w:rFonts w:asciiTheme="minorHAnsi" w:hAnsiTheme="minorHAnsi" w:cs="Arial"/>
                                <w:i/>
                              </w:rPr>
                              <w:t>remain</w:t>
                            </w:r>
                            <w:r w:rsidRPr="00676AA7">
                              <w:rPr>
                                <w:rFonts w:asciiTheme="minorHAnsi" w:hAnsiTheme="minorHAnsi" w:cs="Arial"/>
                                <w:i/>
                              </w:rPr>
                              <w:t xml:space="preserve"> open to contributing to new research initiatives, such as the UK Government’s Global AMR Innovation Fund (GAMRIF), and the Global Antibiotic Research and Development Partnership (GARD-P), which is a joint venture of the WHO and Drugs for Neglected Diseases Initiative, as opportunities arise.</w:t>
                            </w:r>
                          </w:p>
                          <w:p w:rsidR="00422660" w:rsidRDefault="00422660" w:rsidP="0029797C">
                            <w:pPr>
                              <w:rPr>
                                <w:rFonts w:asciiTheme="minorHAnsi" w:hAnsiTheme="minorHAnsi" w:cs="Arial"/>
                                <w:i/>
                              </w:rPr>
                            </w:pPr>
                          </w:p>
                          <w:p w:rsidR="00422660" w:rsidRDefault="00422660" w:rsidP="0029797C">
                            <w:pPr>
                              <w:rPr>
                                <w:rFonts w:asciiTheme="minorHAnsi" w:hAnsiTheme="minorHAnsi" w:cs="Arial"/>
                                <w:i/>
                              </w:rPr>
                            </w:pPr>
                            <w:r>
                              <w:rPr>
                                <w:rFonts w:asciiTheme="minorHAnsi" w:hAnsiTheme="minorHAnsi" w:cs="Arial"/>
                                <w:i/>
                              </w:rPr>
                              <w:t xml:space="preserve">Some of Australia’s leading research institutes, including </w:t>
                            </w:r>
                            <w:r w:rsidRPr="00991936">
                              <w:rPr>
                                <w:rFonts w:asciiTheme="minorHAnsi" w:hAnsiTheme="minorHAnsi" w:cs="Arial"/>
                                <w:i/>
                              </w:rPr>
                              <w:t>The Institute for Molecular Bioscience</w:t>
                            </w:r>
                            <w:r>
                              <w:rPr>
                                <w:rFonts w:asciiTheme="minorHAnsi" w:hAnsiTheme="minorHAnsi" w:cs="Arial"/>
                                <w:i/>
                              </w:rPr>
                              <w:t xml:space="preserve"> at</w:t>
                            </w:r>
                            <w:r w:rsidRPr="00991936">
                              <w:rPr>
                                <w:rFonts w:asciiTheme="minorHAnsi" w:hAnsiTheme="minorHAnsi" w:cs="Arial"/>
                                <w:i/>
                              </w:rPr>
                              <w:t xml:space="preserve"> The University of Queensland</w:t>
                            </w:r>
                            <w:r>
                              <w:rPr>
                                <w:rFonts w:asciiTheme="minorHAnsi" w:hAnsiTheme="minorHAnsi" w:cs="Arial"/>
                                <w:i/>
                              </w:rPr>
                              <w:t xml:space="preserve"> are actively engaged with these and other research collaboratives, including GARD-P, Pew Trust, Wellcome Trust, the </w:t>
                            </w:r>
                            <w:r w:rsidRPr="003B1F56">
                              <w:rPr>
                                <w:rFonts w:asciiTheme="minorHAnsi" w:hAnsiTheme="minorHAnsi" w:cs="Arial"/>
                                <w:i/>
                              </w:rPr>
                              <w:t>Combating Antibiotic Resistant Bacteria Accelerator</w:t>
                            </w:r>
                            <w:r>
                              <w:rPr>
                                <w:rFonts w:asciiTheme="minorHAnsi" w:hAnsiTheme="minorHAnsi" w:cs="Arial"/>
                                <w:i/>
                              </w:rPr>
                              <w:t xml:space="preserve"> (CARB-X</w:t>
                            </w:r>
                            <w:r w:rsidRPr="003B1F56">
                              <w:rPr>
                                <w:rFonts w:asciiTheme="minorHAnsi" w:hAnsiTheme="minorHAnsi" w:cs="Arial"/>
                                <w:i/>
                              </w:rPr>
                              <w:t>)</w:t>
                            </w:r>
                            <w:r>
                              <w:rPr>
                                <w:rFonts w:asciiTheme="minorHAnsi" w:hAnsiTheme="minorHAnsi" w:cs="Arial"/>
                                <w:i/>
                              </w:rPr>
                              <w:t>, and Medicines for Malaria Venture, to help forge closer links between Australian and international AMR research.</w:t>
                            </w:r>
                          </w:p>
                          <w:p w:rsidR="00422660" w:rsidRDefault="00422660" w:rsidP="0029797C">
                            <w:pPr>
                              <w:rPr>
                                <w:rFonts w:asciiTheme="minorHAnsi" w:hAnsiTheme="minorHAnsi" w:cs="Arial"/>
                                <w:i/>
                              </w:rPr>
                            </w:pPr>
                          </w:p>
                          <w:p w:rsidR="00422660" w:rsidRPr="00991936" w:rsidRDefault="00422660" w:rsidP="0029797C">
                            <w:pPr>
                              <w:rPr>
                                <w:rFonts w:asciiTheme="minorHAnsi" w:hAnsiTheme="minorHAnsi" w:cs="Arial"/>
                                <w:i/>
                              </w:rPr>
                            </w:pPr>
                            <w:r>
                              <w:rPr>
                                <w:rFonts w:asciiTheme="minorHAnsi" w:hAnsiTheme="minorHAnsi" w:cs="Arial"/>
                                <w:i/>
                              </w:rPr>
                              <w:t>The Microbiological Diagnostic Unit Public Health Laboratory at the Doherty Institute, University of Melbourne, is working to strengthen international genomics based comparisons of AMR bacteria.</w:t>
                            </w:r>
                          </w:p>
                          <w:p w:rsidR="00422660" w:rsidRDefault="00422660" w:rsidP="0029797C">
                            <w:pPr>
                              <w:rPr>
                                <w:rFonts w:asciiTheme="minorHAnsi" w:hAnsiTheme="minorHAnsi" w:cs="Arial"/>
                                <w:i/>
                              </w:rPr>
                            </w:pPr>
                          </w:p>
                        </w:txbxContent>
                      </wps:txbx>
                      <wps:bodyPr rot="0" vert="horz" wrap="square" lIns="91440" tIns="45720" rIns="91440" bIns="45720" anchor="t" anchorCtr="0">
                        <a:noAutofit/>
                      </wps:bodyPr>
                    </wps:wsp>
                  </a:graphicData>
                </a:graphic>
              </wp:inline>
            </w:drawing>
          </mc:Choice>
          <mc:Fallback>
            <w:pict>
              <v:shape id="_x0000_s1027" type="#_x0000_t202" style="width:471.75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f/rJQIAAEwEAAAOAAAAZHJzL2Uyb0RvYy54bWysVNuO0zAQfUfiHyy/06Sh3d1GTVdLlyKk&#10;5SLt8gGO4zQWtsfYbpPy9YydbKkA8YDIg+XL+PjMOTNZ3w5akaNwXoKp6HyWUyIMh0aafUW/PO1e&#10;3VDiAzMNU2BERU/C09vNyxfr3paigA5UIxxBEOPL3la0C8GWWeZ5JzTzM7DC4GELTrOAS7fPGsd6&#10;RNcqK/L8KuvBNdYBF97j7v14SDcJv20FD5/a1otAVEWRW0ijS2Mdx2yzZuXeMdtJPtFg/8BCM2nw&#10;0TPUPQuMHJz8DUpL7sBDG2YcdAZtK7lIOWA28/yXbB47ZkXKBcXx9iyT/3+w/OPxsyOyQe8oMUyj&#10;RU9iCOQNDKSI6vTWlxj0aDEsDLgdI2Om3j4A/+qJgW3HzF7cOQd9J1iD7ObxZnZxdcTxEaTuP0CD&#10;z7BDgAQ0tE5HQBSDIDq6dDo7E6lw3FyuVvOiWFLC8ez11Wp5nSfvMlY+X7fOh3cCNImTijq0PsGz&#10;44MPkQ4rn0MSfVCy2Uml0sLt661y5MiwTHbpSxlglpdhypC+oqslEvk7RJ6+P0FoGbDeldQVvTkH&#10;sTLq9tY0qRoDk2qcI2VlJiGjdqOKYaiHybHJnxqaEyrrYCxvbEecdOC+U9JjaVfUfzswJyhR7w26&#10;s5ovFrEX0mKxvC5w4S5P6ssTZjhCVTRQMk63IfVPVMDAHbrYyqRvtHtkMlHGkk2yT+0Ve+JynaJ+&#10;/gQ2PwAAAP//AwBQSwMEFAAGAAgAAAAhAEYd+7/dAAAABQEAAA8AAABkcnMvZG93bnJldi54bWxM&#10;j81OwzAQhO9IvIO1SFwQdegfaYhTISQQvUFBcHXjbRJhr4O9TcPbY7jAZaXRjGa+Ldejs2LAEDtP&#10;Cq4mGQik2puOGgWvL/eXOYjImoy2nlDBF0ZYV6cnpS6MP9IzDltuRCqhWGgFLXNfSBnrFp2OE98j&#10;JW/vg9OcZGikCfqYyp2V0yxbSqc7Sgut7vGuxfpje3AK8vnj8B43s6e3erm3K764Hh4+g1LnZ+Pt&#10;DQjGkf/C8IOf0KFKTDt/IBOFVZAe4d+bvNV8tgCxU7DIpxnIqpT/6atvAAAA//8DAFBLAQItABQA&#10;BgAIAAAAIQC2gziS/gAAAOEBAAATAAAAAAAAAAAAAAAAAAAAAABbQ29udGVudF9UeXBlc10ueG1s&#10;UEsBAi0AFAAGAAgAAAAhADj9If/WAAAAlAEAAAsAAAAAAAAAAAAAAAAALwEAAF9yZWxzLy5yZWxz&#10;UEsBAi0AFAAGAAgAAAAhAHPB/+slAgAATAQAAA4AAAAAAAAAAAAAAAAALgIAAGRycy9lMm9Eb2Mu&#10;eG1sUEsBAi0AFAAGAAgAAAAhAEYd+7/dAAAABQEAAA8AAAAAAAAAAAAAAAAAfwQAAGRycy9kb3du&#10;cmV2LnhtbFBLBQYAAAAABAAEAPMAAACJBQAAAAA=&#10;">
                <v:textbox>
                  <w:txbxContent>
                    <w:p w:rsidR="00422660" w:rsidRDefault="00422660" w:rsidP="0029797C">
                      <w:pPr>
                        <w:rPr>
                          <w:rFonts w:asciiTheme="minorHAnsi" w:hAnsiTheme="minorHAnsi" w:cs="Arial"/>
                          <w:i/>
                        </w:rPr>
                      </w:pPr>
                      <w:r w:rsidRPr="00676AA7">
                        <w:rPr>
                          <w:rFonts w:asciiTheme="minorHAnsi" w:hAnsiTheme="minorHAnsi" w:cs="Arial"/>
                          <w:i/>
                        </w:rPr>
                        <w:t>Australia is investing $30 million over three years (2015-</w:t>
                      </w:r>
                      <w:r>
                        <w:rPr>
                          <w:rFonts w:asciiTheme="minorHAnsi" w:hAnsiTheme="minorHAnsi" w:cs="Arial"/>
                          <w:i/>
                        </w:rPr>
                        <w:t>20</w:t>
                      </w:r>
                      <w:r w:rsidRPr="00676AA7">
                        <w:rPr>
                          <w:rFonts w:asciiTheme="minorHAnsi" w:hAnsiTheme="minorHAnsi" w:cs="Arial"/>
                          <w:i/>
                        </w:rPr>
                        <w:t>17) to support research and development on tuberculosis (TB), including drug-resistant strains, and malaria in our region via three PDPs: Global Alliance for TB Drug Development (TB Alliance); Foundation for Innovative New Diagnostics (FIND); and Medicines for Malaria Venture (MMV)</w:t>
                      </w:r>
                      <w:r>
                        <w:rPr>
                          <w:rFonts w:asciiTheme="minorHAnsi" w:hAnsiTheme="minorHAnsi" w:cs="Arial"/>
                          <w:i/>
                        </w:rPr>
                        <w:t>.</w:t>
                      </w:r>
                    </w:p>
                    <w:p w:rsidR="00422660" w:rsidRPr="00676AA7" w:rsidRDefault="00422660" w:rsidP="0029797C">
                      <w:pPr>
                        <w:rPr>
                          <w:rFonts w:asciiTheme="minorHAnsi" w:hAnsiTheme="minorHAnsi" w:cs="Arial"/>
                          <w:i/>
                        </w:rPr>
                      </w:pPr>
                    </w:p>
                    <w:p w:rsidR="00422660" w:rsidRDefault="00422660" w:rsidP="0029797C">
                      <w:pPr>
                        <w:rPr>
                          <w:rFonts w:asciiTheme="minorHAnsi" w:hAnsiTheme="minorHAnsi" w:cs="Arial"/>
                          <w:i/>
                        </w:rPr>
                      </w:pPr>
                      <w:r>
                        <w:rPr>
                          <w:rFonts w:asciiTheme="minorHAnsi" w:hAnsiTheme="minorHAnsi" w:cs="Arial"/>
                          <w:i/>
                        </w:rPr>
                        <w:t>W</w:t>
                      </w:r>
                      <w:r w:rsidRPr="00676AA7">
                        <w:rPr>
                          <w:rFonts w:asciiTheme="minorHAnsi" w:hAnsiTheme="minorHAnsi" w:cs="Arial"/>
                          <w:i/>
                        </w:rPr>
                        <w:t xml:space="preserve">e </w:t>
                      </w:r>
                      <w:r>
                        <w:rPr>
                          <w:rFonts w:asciiTheme="minorHAnsi" w:hAnsiTheme="minorHAnsi" w:cs="Arial"/>
                          <w:i/>
                        </w:rPr>
                        <w:t>remain</w:t>
                      </w:r>
                      <w:r w:rsidRPr="00676AA7">
                        <w:rPr>
                          <w:rFonts w:asciiTheme="minorHAnsi" w:hAnsiTheme="minorHAnsi" w:cs="Arial"/>
                          <w:i/>
                        </w:rPr>
                        <w:t xml:space="preserve"> open to contributing to new research initiatives, such as the UK Government’s Global AMR Innovation Fund (GAMRIF), and the Global Antibiotic Research and Development Partnership (GARD-P), which is a joint venture of the WHO and Drugs for Neglected Diseases Initiative, as opportunities arise.</w:t>
                      </w:r>
                    </w:p>
                    <w:p w:rsidR="00422660" w:rsidRDefault="00422660" w:rsidP="0029797C">
                      <w:pPr>
                        <w:rPr>
                          <w:rFonts w:asciiTheme="minorHAnsi" w:hAnsiTheme="minorHAnsi" w:cs="Arial"/>
                          <w:i/>
                        </w:rPr>
                      </w:pPr>
                    </w:p>
                    <w:p w:rsidR="00422660" w:rsidRDefault="00422660" w:rsidP="0029797C">
                      <w:pPr>
                        <w:rPr>
                          <w:rFonts w:asciiTheme="minorHAnsi" w:hAnsiTheme="minorHAnsi" w:cs="Arial"/>
                          <w:i/>
                        </w:rPr>
                      </w:pPr>
                      <w:r>
                        <w:rPr>
                          <w:rFonts w:asciiTheme="minorHAnsi" w:hAnsiTheme="minorHAnsi" w:cs="Arial"/>
                          <w:i/>
                        </w:rPr>
                        <w:t xml:space="preserve">Some of Australia’s leading research institutes, including </w:t>
                      </w:r>
                      <w:r w:rsidRPr="00991936">
                        <w:rPr>
                          <w:rFonts w:asciiTheme="minorHAnsi" w:hAnsiTheme="minorHAnsi" w:cs="Arial"/>
                          <w:i/>
                        </w:rPr>
                        <w:t>The Institute for Molecular Bioscience</w:t>
                      </w:r>
                      <w:r>
                        <w:rPr>
                          <w:rFonts w:asciiTheme="minorHAnsi" w:hAnsiTheme="minorHAnsi" w:cs="Arial"/>
                          <w:i/>
                        </w:rPr>
                        <w:t xml:space="preserve"> at</w:t>
                      </w:r>
                      <w:r w:rsidRPr="00991936">
                        <w:rPr>
                          <w:rFonts w:asciiTheme="minorHAnsi" w:hAnsiTheme="minorHAnsi" w:cs="Arial"/>
                          <w:i/>
                        </w:rPr>
                        <w:t xml:space="preserve"> The University of Queensland</w:t>
                      </w:r>
                      <w:r>
                        <w:rPr>
                          <w:rFonts w:asciiTheme="minorHAnsi" w:hAnsiTheme="minorHAnsi" w:cs="Arial"/>
                          <w:i/>
                        </w:rPr>
                        <w:t xml:space="preserve"> are actively engaged with these and other research collaboratives, including GARD-P, Pew Trust, Wellcome Trust, the </w:t>
                      </w:r>
                      <w:r w:rsidRPr="003B1F56">
                        <w:rPr>
                          <w:rFonts w:asciiTheme="minorHAnsi" w:hAnsiTheme="minorHAnsi" w:cs="Arial"/>
                          <w:i/>
                        </w:rPr>
                        <w:t>Combating Antibiotic Resistant Bacteria Accelerator</w:t>
                      </w:r>
                      <w:r>
                        <w:rPr>
                          <w:rFonts w:asciiTheme="minorHAnsi" w:hAnsiTheme="minorHAnsi" w:cs="Arial"/>
                          <w:i/>
                        </w:rPr>
                        <w:t xml:space="preserve"> (CARB-X</w:t>
                      </w:r>
                      <w:r w:rsidRPr="003B1F56">
                        <w:rPr>
                          <w:rFonts w:asciiTheme="minorHAnsi" w:hAnsiTheme="minorHAnsi" w:cs="Arial"/>
                          <w:i/>
                        </w:rPr>
                        <w:t>)</w:t>
                      </w:r>
                      <w:r>
                        <w:rPr>
                          <w:rFonts w:asciiTheme="minorHAnsi" w:hAnsiTheme="minorHAnsi" w:cs="Arial"/>
                          <w:i/>
                        </w:rPr>
                        <w:t>, and Medicines for Malaria Venture, to help forge closer links between Australian and international AMR research.</w:t>
                      </w:r>
                    </w:p>
                    <w:p w:rsidR="00422660" w:rsidRDefault="00422660" w:rsidP="0029797C">
                      <w:pPr>
                        <w:rPr>
                          <w:rFonts w:asciiTheme="minorHAnsi" w:hAnsiTheme="minorHAnsi" w:cs="Arial"/>
                          <w:i/>
                        </w:rPr>
                      </w:pPr>
                    </w:p>
                    <w:p w:rsidR="00422660" w:rsidRPr="00991936" w:rsidRDefault="00422660" w:rsidP="0029797C">
                      <w:pPr>
                        <w:rPr>
                          <w:rFonts w:asciiTheme="minorHAnsi" w:hAnsiTheme="minorHAnsi" w:cs="Arial"/>
                          <w:i/>
                        </w:rPr>
                      </w:pPr>
                      <w:r>
                        <w:rPr>
                          <w:rFonts w:asciiTheme="minorHAnsi" w:hAnsiTheme="minorHAnsi" w:cs="Arial"/>
                          <w:i/>
                        </w:rPr>
                        <w:t>The Microbiological Diagnostic Unit Public Health Laboratory at the Doherty Institute, University of Melbourne, is working to strengthen international genomics based comparisons of AMR bacteria.</w:t>
                      </w:r>
                    </w:p>
                    <w:p w:rsidR="00422660" w:rsidRDefault="00422660" w:rsidP="0029797C">
                      <w:pPr>
                        <w:rPr>
                          <w:rFonts w:asciiTheme="minorHAnsi" w:hAnsiTheme="minorHAnsi" w:cs="Arial"/>
                          <w:i/>
                        </w:rPr>
                      </w:pPr>
                    </w:p>
                  </w:txbxContent>
                </v:textbox>
                <w10:anchorlock/>
              </v:shape>
            </w:pict>
          </mc:Fallback>
        </mc:AlternateContent>
      </w:r>
    </w:p>
    <w:p w:rsidR="007F12A1" w:rsidRPr="000C15F6" w:rsidRDefault="007F12A1" w:rsidP="007F12A1">
      <w:pPr>
        <w:rPr>
          <w:rFonts w:asciiTheme="minorHAnsi" w:hAnsiTheme="minorHAnsi" w:cs="Arial"/>
        </w:rPr>
      </w:pPr>
    </w:p>
    <w:p w:rsidR="007F12A1" w:rsidRPr="00AE0291" w:rsidRDefault="007F12A1" w:rsidP="00445D1A">
      <w:pPr>
        <w:pStyle w:val="Heading4"/>
      </w:pPr>
      <w:r w:rsidRPr="00AE0291">
        <w:t>Animal Health and Agriculture</w:t>
      </w:r>
    </w:p>
    <w:p w:rsidR="007F12A1" w:rsidRPr="007F12A1" w:rsidRDefault="007F12A1" w:rsidP="0008579C">
      <w:pPr>
        <w:pStyle w:val="ListParagraph"/>
        <w:numPr>
          <w:ilvl w:val="0"/>
          <w:numId w:val="8"/>
        </w:numPr>
        <w:spacing w:after="120"/>
        <w:ind w:left="714" w:hanging="357"/>
        <w:contextualSpacing w:val="0"/>
        <w:rPr>
          <w:rFonts w:asciiTheme="minorHAnsi" w:eastAsia="Calibri" w:hAnsiTheme="minorHAnsi" w:cs="Arial"/>
        </w:rPr>
      </w:pPr>
      <w:r w:rsidRPr="007F12A1">
        <w:rPr>
          <w:rFonts w:asciiTheme="minorHAnsi" w:eastAsia="Calibri" w:hAnsiTheme="minorHAnsi" w:cs="Arial"/>
        </w:rPr>
        <w:t xml:space="preserve">Macquarie University is investigating </w:t>
      </w:r>
      <w:r w:rsidRPr="007F12A1">
        <w:rPr>
          <w:rFonts w:asciiTheme="minorHAnsi" w:hAnsiTheme="minorHAnsi" w:cs="Arial"/>
          <w:lang w:val="en-US"/>
        </w:rPr>
        <w:t>transmission of mobile genetic elements and resistance gene carriage/construct diversity in urban wildlife. Research is expected to be completed in 2020.</w:t>
      </w:r>
    </w:p>
    <w:p w:rsidR="007F12A1" w:rsidRPr="00111FAE" w:rsidRDefault="007F12A1" w:rsidP="0008579C">
      <w:pPr>
        <w:pStyle w:val="ListParagraph"/>
        <w:numPr>
          <w:ilvl w:val="0"/>
          <w:numId w:val="8"/>
        </w:numPr>
        <w:spacing w:after="120"/>
        <w:ind w:left="714"/>
        <w:contextualSpacing w:val="0"/>
        <w:rPr>
          <w:rFonts w:asciiTheme="minorHAnsi" w:eastAsia="Calibri" w:hAnsiTheme="minorHAnsi" w:cs="Arial"/>
        </w:rPr>
      </w:pPr>
      <w:r w:rsidRPr="007F12A1">
        <w:rPr>
          <w:rFonts w:asciiTheme="minorHAnsi" w:hAnsiTheme="minorHAnsi" w:cs="Arial"/>
          <w:lang w:val="en-US"/>
        </w:rPr>
        <w:t>Murdoch University (</w:t>
      </w:r>
      <w:r w:rsidR="007E7E4E">
        <w:rPr>
          <w:rFonts w:asciiTheme="minorHAnsi" w:hAnsiTheme="minorHAnsi" w:cs="Arial"/>
          <w:lang w:val="en-US"/>
        </w:rPr>
        <w:t>AMR</w:t>
      </w:r>
      <w:r w:rsidRPr="007F12A1">
        <w:rPr>
          <w:rFonts w:asciiTheme="minorHAnsi" w:hAnsiTheme="minorHAnsi" w:cs="Arial"/>
          <w:lang w:val="en-US"/>
        </w:rPr>
        <w:t xml:space="preserve"> and Infectious Diseases laboratory) and New South Wales Department of Primary Industries, using funds from the Australian Government Department of Agriculture and Water Resources, are studying </w:t>
      </w:r>
      <w:r w:rsidRPr="007F12A1">
        <w:rPr>
          <w:rFonts w:asciiTheme="minorHAnsi" w:hAnsiTheme="minorHAnsi" w:cs="Arial"/>
          <w:i/>
          <w:lang w:val="en-US"/>
        </w:rPr>
        <w:t>Risk management of critical antimicrobial resistant bacteria in food producing animals</w:t>
      </w:r>
      <w:r w:rsidRPr="007F12A1">
        <w:rPr>
          <w:rFonts w:asciiTheme="minorHAnsi" w:hAnsiTheme="minorHAnsi" w:cs="Arial"/>
          <w:lang w:val="en-US"/>
        </w:rPr>
        <w:t>.</w:t>
      </w:r>
      <w:r w:rsidRPr="007F12A1">
        <w:rPr>
          <w:rFonts w:asciiTheme="minorHAnsi" w:hAnsiTheme="minorHAnsi"/>
        </w:rPr>
        <w:t xml:space="preserve"> </w:t>
      </w:r>
      <w:r w:rsidR="00F96594">
        <w:rPr>
          <w:rFonts w:asciiTheme="minorHAnsi" w:hAnsiTheme="minorHAnsi" w:cs="Arial"/>
          <w:lang w:val="en-US"/>
        </w:rPr>
        <w:t>A</w:t>
      </w:r>
      <w:r w:rsidRPr="007F12A1">
        <w:rPr>
          <w:rFonts w:asciiTheme="minorHAnsi" w:hAnsiTheme="minorHAnsi" w:cs="Arial"/>
          <w:lang w:val="en-US"/>
        </w:rPr>
        <w:t xml:space="preserve"> semi-automated enumeration assay is being developed to study standard (e.g. as used in surveillance) and enhanced tests (e.g. selective recovery) for the detection of the occurrence of critically-important AMR bacteria in animal faeces and food products. The project is due for completion in April 2019.</w:t>
      </w:r>
    </w:p>
    <w:p w:rsidR="00111FAE" w:rsidRPr="0063019B" w:rsidRDefault="00111FAE" w:rsidP="0008579C">
      <w:pPr>
        <w:pStyle w:val="ListParagraph"/>
        <w:numPr>
          <w:ilvl w:val="0"/>
          <w:numId w:val="8"/>
        </w:numPr>
        <w:spacing w:after="120"/>
        <w:contextualSpacing w:val="0"/>
        <w:rPr>
          <w:rFonts w:asciiTheme="minorHAnsi" w:hAnsiTheme="minorHAnsi" w:cs="Arial"/>
        </w:rPr>
      </w:pPr>
      <w:r w:rsidRPr="0063019B">
        <w:rPr>
          <w:rStyle w:val="Emphasis"/>
          <w:rFonts w:asciiTheme="minorHAnsi" w:hAnsiTheme="minorHAnsi" w:cs="Arial"/>
          <w:i w:val="0"/>
        </w:rPr>
        <w:t xml:space="preserve">The University of Sydney </w:t>
      </w:r>
      <w:r w:rsidR="00F96594">
        <w:rPr>
          <w:rStyle w:val="Emphasis"/>
          <w:rFonts w:asciiTheme="minorHAnsi" w:hAnsiTheme="minorHAnsi" w:cs="Arial"/>
          <w:i w:val="0"/>
        </w:rPr>
        <w:t>is</w:t>
      </w:r>
      <w:r w:rsidRPr="0063019B">
        <w:rPr>
          <w:rStyle w:val="Emphasis"/>
          <w:rFonts w:asciiTheme="minorHAnsi" w:hAnsiTheme="minorHAnsi" w:cs="Arial"/>
          <w:i w:val="0"/>
        </w:rPr>
        <w:t xml:space="preserve"> undertaking a study entitled </w:t>
      </w:r>
      <w:r w:rsidRPr="0063019B">
        <w:rPr>
          <w:rStyle w:val="Emphasis"/>
          <w:rFonts w:asciiTheme="minorHAnsi" w:hAnsiTheme="minorHAnsi" w:cs="Arial"/>
        </w:rPr>
        <w:t>Phenotypic expression of biocide tolerance in clinical veterinary Staphylococcus isolates: are our disinfectants working?</w:t>
      </w:r>
      <w:r w:rsidRPr="0063019B">
        <w:rPr>
          <w:rFonts w:asciiTheme="minorHAnsi" w:hAnsiTheme="minorHAnsi" w:cs="Arial"/>
        </w:rPr>
        <w:t xml:space="preserve"> Funding has been received from the Australian Companion Animal Health Foundation and the study is due for completion in November 2017.</w:t>
      </w:r>
    </w:p>
    <w:p w:rsidR="001478E0" w:rsidRPr="004146B6" w:rsidRDefault="001478E0" w:rsidP="00445D1A">
      <w:pPr>
        <w:pStyle w:val="Heading3"/>
      </w:pPr>
      <w:r w:rsidRPr="004146B6">
        <w:t>What are our challenges?</w:t>
      </w:r>
    </w:p>
    <w:p w:rsidR="001478E0" w:rsidRPr="00F85AA1" w:rsidRDefault="001478E0" w:rsidP="00F85AA1">
      <w:pPr>
        <w:pStyle w:val="ListParagraph"/>
        <w:numPr>
          <w:ilvl w:val="0"/>
          <w:numId w:val="8"/>
        </w:numPr>
        <w:spacing w:after="120"/>
        <w:contextualSpacing w:val="0"/>
        <w:rPr>
          <w:rStyle w:val="Emphasis"/>
          <w:rFonts w:asciiTheme="minorHAnsi" w:hAnsiTheme="minorHAnsi"/>
          <w:i w:val="0"/>
        </w:rPr>
      </w:pPr>
      <w:r w:rsidRPr="00D43418">
        <w:rPr>
          <w:rStyle w:val="Emphasis"/>
          <w:rFonts w:asciiTheme="minorHAnsi" w:hAnsiTheme="minorHAnsi" w:cs="Arial"/>
          <w:i w:val="0"/>
        </w:rPr>
        <w:t>Significant</w:t>
      </w:r>
      <w:r w:rsidRPr="00F85AA1">
        <w:rPr>
          <w:rStyle w:val="Emphasis"/>
          <w:rFonts w:asciiTheme="minorHAnsi" w:hAnsiTheme="minorHAnsi"/>
          <w:i w:val="0"/>
        </w:rPr>
        <w:t xml:space="preserve"> progress has been made in increasing the level of information sharing and collaboration between Australia’s research institutes. However, Australia lacks a national AMR research agenda that identifies agreed research and development priorities to which institutes lend their expertise and work collaboratively to fill knowledge gaps.</w:t>
      </w:r>
    </w:p>
    <w:p w:rsidR="001478E0" w:rsidRPr="00F85AA1" w:rsidRDefault="001478E0" w:rsidP="00F85AA1">
      <w:pPr>
        <w:pStyle w:val="ListParagraph"/>
        <w:numPr>
          <w:ilvl w:val="0"/>
          <w:numId w:val="8"/>
        </w:numPr>
        <w:spacing w:after="120"/>
        <w:contextualSpacing w:val="0"/>
        <w:rPr>
          <w:rStyle w:val="Emphasis"/>
          <w:rFonts w:asciiTheme="minorHAnsi" w:hAnsiTheme="minorHAnsi"/>
          <w:i w:val="0"/>
        </w:rPr>
      </w:pPr>
      <w:r w:rsidRPr="00F85AA1">
        <w:rPr>
          <w:rStyle w:val="Emphasis"/>
          <w:rFonts w:asciiTheme="minorHAnsi" w:hAnsiTheme="minorHAnsi"/>
          <w:i w:val="0"/>
        </w:rPr>
        <w:lastRenderedPageBreak/>
        <w:t>Research and development needs mapped against current effort would provide guidance on gaps and where the greatest impacts of new research and development investment could be achieved.</w:t>
      </w:r>
    </w:p>
    <w:p w:rsidR="004E3B0F" w:rsidRPr="00F85AA1" w:rsidRDefault="004E3B0F" w:rsidP="00F85AA1">
      <w:pPr>
        <w:pStyle w:val="ListParagraph"/>
        <w:numPr>
          <w:ilvl w:val="0"/>
          <w:numId w:val="8"/>
        </w:numPr>
        <w:spacing w:after="120"/>
        <w:contextualSpacing w:val="0"/>
        <w:rPr>
          <w:rStyle w:val="Emphasis"/>
          <w:rFonts w:asciiTheme="minorHAnsi" w:hAnsiTheme="minorHAnsi"/>
          <w:i w:val="0"/>
        </w:rPr>
      </w:pPr>
      <w:r w:rsidRPr="00F85AA1">
        <w:rPr>
          <w:rStyle w:val="Emphasis"/>
          <w:rFonts w:asciiTheme="minorHAnsi" w:hAnsiTheme="minorHAnsi"/>
          <w:i w:val="0"/>
        </w:rPr>
        <w:t xml:space="preserve">A national mechanism for improved collaboration and information and data sharing is needed to promote efficient use of resources and minimise duplication of effort within and between all sectors (One Health), including the Australian Government, </w:t>
      </w:r>
      <w:r w:rsidR="001012F2">
        <w:rPr>
          <w:rStyle w:val="Emphasis"/>
          <w:rFonts w:asciiTheme="minorHAnsi" w:hAnsiTheme="minorHAnsi"/>
          <w:i w:val="0"/>
        </w:rPr>
        <w:t>s</w:t>
      </w:r>
      <w:r w:rsidRPr="00F85AA1">
        <w:rPr>
          <w:rStyle w:val="Emphasis"/>
          <w:rFonts w:asciiTheme="minorHAnsi" w:hAnsiTheme="minorHAnsi"/>
          <w:i w:val="0"/>
        </w:rPr>
        <w:t xml:space="preserve">tate and </w:t>
      </w:r>
      <w:r w:rsidR="001012F2">
        <w:rPr>
          <w:rStyle w:val="Emphasis"/>
          <w:rFonts w:asciiTheme="minorHAnsi" w:hAnsiTheme="minorHAnsi"/>
          <w:i w:val="0"/>
        </w:rPr>
        <w:t>t</w:t>
      </w:r>
      <w:r w:rsidRPr="00F85AA1">
        <w:rPr>
          <w:rStyle w:val="Emphasis"/>
          <w:rFonts w:asciiTheme="minorHAnsi" w:hAnsiTheme="minorHAnsi"/>
          <w:i w:val="0"/>
        </w:rPr>
        <w:t xml:space="preserve">erritory </w:t>
      </w:r>
      <w:r w:rsidR="001012F2">
        <w:rPr>
          <w:rStyle w:val="Emphasis"/>
          <w:rFonts w:asciiTheme="minorHAnsi" w:hAnsiTheme="minorHAnsi"/>
          <w:i w:val="0"/>
        </w:rPr>
        <w:t>g</w:t>
      </w:r>
      <w:r w:rsidRPr="00F85AA1">
        <w:rPr>
          <w:rStyle w:val="Emphasis"/>
          <w:rFonts w:asciiTheme="minorHAnsi" w:hAnsiTheme="minorHAnsi"/>
          <w:i w:val="0"/>
        </w:rPr>
        <w:t>overnments, non-government organisations, professional bodies and research organisations.</w:t>
      </w:r>
    </w:p>
    <w:p w:rsidR="001478E0" w:rsidRPr="004146B6" w:rsidRDefault="001478E0" w:rsidP="00445D1A">
      <w:pPr>
        <w:pStyle w:val="Heading3"/>
      </w:pPr>
      <w:r w:rsidRPr="004146B6">
        <w:t>Where to next?</w:t>
      </w:r>
    </w:p>
    <w:p w:rsidR="00001915" w:rsidRPr="00585209" w:rsidRDefault="00001915" w:rsidP="00585209">
      <w:pPr>
        <w:pStyle w:val="ListParagraph"/>
        <w:numPr>
          <w:ilvl w:val="0"/>
          <w:numId w:val="8"/>
        </w:numPr>
        <w:spacing w:after="120"/>
        <w:contextualSpacing w:val="0"/>
        <w:rPr>
          <w:rStyle w:val="Emphasis"/>
          <w:rFonts w:asciiTheme="minorHAnsi" w:hAnsiTheme="minorHAnsi"/>
          <w:i w:val="0"/>
        </w:rPr>
      </w:pPr>
      <w:r w:rsidRPr="00585209">
        <w:rPr>
          <w:rStyle w:val="Emphasis"/>
          <w:rFonts w:asciiTheme="minorHAnsi" w:hAnsiTheme="minorHAnsi"/>
          <w:i w:val="0"/>
        </w:rPr>
        <w:t>Australia will continue to encourage research institutes, centres of research excellence and national research funding bodies such as the NHMRC</w:t>
      </w:r>
      <w:r w:rsidR="00F96594" w:rsidRPr="00585209">
        <w:rPr>
          <w:rStyle w:val="Emphasis"/>
          <w:rFonts w:asciiTheme="minorHAnsi" w:hAnsiTheme="minorHAnsi"/>
          <w:i w:val="0"/>
        </w:rPr>
        <w:t>,</w:t>
      </w:r>
      <w:r w:rsidRPr="00585209">
        <w:rPr>
          <w:rStyle w:val="Emphasis"/>
          <w:rFonts w:asciiTheme="minorHAnsi" w:hAnsiTheme="minorHAnsi"/>
          <w:i w:val="0"/>
        </w:rPr>
        <w:t xml:space="preserve"> MRFF</w:t>
      </w:r>
      <w:r w:rsidR="00F96594" w:rsidRPr="00585209">
        <w:rPr>
          <w:rStyle w:val="Emphasis"/>
          <w:rFonts w:asciiTheme="minorHAnsi" w:hAnsiTheme="minorHAnsi"/>
          <w:i w:val="0"/>
        </w:rPr>
        <w:t xml:space="preserve"> and Australian Research Council</w:t>
      </w:r>
      <w:r w:rsidRPr="00585209">
        <w:rPr>
          <w:rStyle w:val="Emphasis"/>
          <w:rFonts w:asciiTheme="minorHAnsi" w:hAnsiTheme="minorHAnsi"/>
          <w:i w:val="0"/>
        </w:rPr>
        <w:t xml:space="preserve"> to work collaboratively to establish agreed national AMR research priorities.</w:t>
      </w:r>
    </w:p>
    <w:p w:rsidR="00585209" w:rsidRPr="00585209" w:rsidRDefault="00497F5B" w:rsidP="00585209">
      <w:pPr>
        <w:pStyle w:val="ListParagraph"/>
        <w:numPr>
          <w:ilvl w:val="0"/>
          <w:numId w:val="8"/>
        </w:numPr>
        <w:spacing w:after="120"/>
        <w:contextualSpacing w:val="0"/>
        <w:rPr>
          <w:rStyle w:val="Emphasis"/>
          <w:rFonts w:asciiTheme="minorHAnsi" w:hAnsiTheme="minorHAnsi"/>
          <w:i w:val="0"/>
        </w:rPr>
      </w:pPr>
      <w:r w:rsidRPr="00585209">
        <w:rPr>
          <w:rStyle w:val="Emphasis"/>
          <w:rFonts w:asciiTheme="minorHAnsi" w:hAnsiTheme="minorHAnsi"/>
          <w:i w:val="0"/>
        </w:rPr>
        <w:t xml:space="preserve">The </w:t>
      </w:r>
      <w:r w:rsidR="00F96594" w:rsidRPr="00585209">
        <w:rPr>
          <w:rStyle w:val="Emphasis"/>
          <w:rFonts w:asciiTheme="minorHAnsi" w:hAnsiTheme="minorHAnsi"/>
          <w:i w:val="0"/>
        </w:rPr>
        <w:t xml:space="preserve">One Health </w:t>
      </w:r>
      <w:r w:rsidRPr="00585209">
        <w:rPr>
          <w:rStyle w:val="Emphasis"/>
          <w:rFonts w:asciiTheme="minorHAnsi" w:hAnsiTheme="minorHAnsi"/>
          <w:i w:val="0"/>
        </w:rPr>
        <w:t xml:space="preserve">AMR </w:t>
      </w:r>
      <w:r w:rsidR="00632CE9">
        <w:rPr>
          <w:rStyle w:val="Emphasis"/>
          <w:rFonts w:asciiTheme="minorHAnsi" w:hAnsiTheme="minorHAnsi"/>
          <w:i w:val="0"/>
        </w:rPr>
        <w:t>w</w:t>
      </w:r>
      <w:r w:rsidRPr="00585209">
        <w:rPr>
          <w:rStyle w:val="Emphasis"/>
          <w:rFonts w:asciiTheme="minorHAnsi" w:hAnsiTheme="minorHAnsi"/>
          <w:i w:val="0"/>
        </w:rPr>
        <w:t>ebsite will house a research and activity directory, which wi</w:t>
      </w:r>
      <w:r w:rsidR="0048738C" w:rsidRPr="00585209">
        <w:rPr>
          <w:rStyle w:val="Emphasis"/>
          <w:rFonts w:asciiTheme="minorHAnsi" w:hAnsiTheme="minorHAnsi"/>
          <w:i w:val="0"/>
        </w:rPr>
        <w:t>ll allow stakeholders to submit</w:t>
      </w:r>
      <w:r w:rsidRPr="00585209">
        <w:rPr>
          <w:rStyle w:val="Emphasis"/>
          <w:rFonts w:asciiTheme="minorHAnsi" w:hAnsiTheme="minorHAnsi"/>
          <w:i w:val="0"/>
        </w:rPr>
        <w:t xml:space="preserve"> information about </w:t>
      </w:r>
      <w:r w:rsidR="0048738C" w:rsidRPr="00585209">
        <w:rPr>
          <w:rStyle w:val="Emphasis"/>
          <w:rFonts w:asciiTheme="minorHAnsi" w:hAnsiTheme="minorHAnsi"/>
          <w:i w:val="0"/>
        </w:rPr>
        <w:t>projects or initiatives they are undertaking to support Australia’s response to AMR.</w:t>
      </w:r>
    </w:p>
    <w:p w:rsidR="00EC3BBE" w:rsidRDefault="001478E0" w:rsidP="00632CE9">
      <w:pPr>
        <w:pStyle w:val="ListParagraph"/>
        <w:numPr>
          <w:ilvl w:val="0"/>
          <w:numId w:val="8"/>
        </w:numPr>
        <w:spacing w:after="120"/>
        <w:contextualSpacing w:val="0"/>
      </w:pPr>
      <w:r w:rsidRPr="00632CE9">
        <w:rPr>
          <w:rStyle w:val="Emphasis"/>
          <w:rFonts w:asciiTheme="minorHAnsi" w:hAnsiTheme="minorHAnsi"/>
          <w:i w:val="0"/>
        </w:rPr>
        <w:t xml:space="preserve">The </w:t>
      </w:r>
      <w:r w:rsidR="00471B1B" w:rsidRPr="00632CE9">
        <w:rPr>
          <w:rStyle w:val="Emphasis"/>
          <w:rFonts w:asciiTheme="minorHAnsi" w:hAnsiTheme="minorHAnsi"/>
          <w:i w:val="0"/>
        </w:rPr>
        <w:t xml:space="preserve">financial and strategic </w:t>
      </w:r>
      <w:r w:rsidRPr="00632CE9">
        <w:rPr>
          <w:rStyle w:val="Emphasis"/>
          <w:rFonts w:asciiTheme="minorHAnsi" w:hAnsiTheme="minorHAnsi"/>
          <w:i w:val="0"/>
        </w:rPr>
        <w:t xml:space="preserve">need for increased international collaboration and coordination of research and development effort has emerged over the past two years with the establishment of global research collaboratives such as the </w:t>
      </w:r>
      <w:r w:rsidRPr="00632CE9">
        <w:rPr>
          <w:rStyle w:val="Emphasis"/>
          <w:rFonts w:asciiTheme="minorHAnsi" w:hAnsiTheme="minorHAnsi"/>
        </w:rPr>
        <w:t>Global</w:t>
      </w:r>
      <w:r w:rsidRPr="00632CE9">
        <w:rPr>
          <w:rFonts w:asciiTheme="minorHAnsi" w:hAnsiTheme="minorHAnsi" w:cs="Arial"/>
          <w:i/>
        </w:rPr>
        <w:t xml:space="preserve"> </w:t>
      </w:r>
      <w:r w:rsidR="007F5BDD" w:rsidRPr="00632CE9">
        <w:rPr>
          <w:rFonts w:asciiTheme="minorHAnsi" w:hAnsiTheme="minorHAnsi" w:cs="Arial"/>
          <w:i/>
        </w:rPr>
        <w:t>AMR Research and Development Hub</w:t>
      </w:r>
      <w:r w:rsidRPr="00632CE9">
        <w:rPr>
          <w:rFonts w:asciiTheme="minorHAnsi" w:hAnsiTheme="minorHAnsi" w:cs="Arial"/>
          <w:i/>
        </w:rPr>
        <w:t xml:space="preserve">, </w:t>
      </w:r>
      <w:r w:rsidRPr="00632CE9">
        <w:rPr>
          <w:rFonts w:asciiTheme="minorHAnsi" w:hAnsiTheme="minorHAnsi" w:cs="Arial"/>
        </w:rPr>
        <w:t>the</w:t>
      </w:r>
      <w:r w:rsidRPr="00632CE9">
        <w:rPr>
          <w:rFonts w:asciiTheme="minorHAnsi" w:hAnsiTheme="minorHAnsi" w:cs="Arial"/>
          <w:i/>
        </w:rPr>
        <w:t xml:space="preserve"> Global Antibiotic Research and Development Partnership</w:t>
      </w:r>
      <w:r w:rsidRPr="00632CE9">
        <w:rPr>
          <w:rFonts w:asciiTheme="minorHAnsi" w:hAnsiTheme="minorHAnsi" w:cs="Arial"/>
        </w:rPr>
        <w:t>, and the</w:t>
      </w:r>
      <w:r w:rsidRPr="00632CE9">
        <w:rPr>
          <w:rFonts w:asciiTheme="minorHAnsi" w:hAnsiTheme="minorHAnsi" w:cs="Arial"/>
          <w:i/>
        </w:rPr>
        <w:t xml:space="preserve"> Global </w:t>
      </w:r>
      <w:r w:rsidR="007E7E4E" w:rsidRPr="00632CE9">
        <w:rPr>
          <w:rFonts w:asciiTheme="minorHAnsi" w:hAnsiTheme="minorHAnsi" w:cs="Arial"/>
          <w:i/>
        </w:rPr>
        <w:t>AMR</w:t>
      </w:r>
      <w:r w:rsidRPr="00632CE9">
        <w:rPr>
          <w:rFonts w:asciiTheme="minorHAnsi" w:hAnsiTheme="minorHAnsi" w:cs="Arial"/>
          <w:i/>
        </w:rPr>
        <w:t xml:space="preserve"> Innovation Fund.</w:t>
      </w:r>
      <w:r w:rsidR="00093CA7" w:rsidRPr="00632CE9">
        <w:rPr>
          <w:rFonts w:asciiTheme="minorHAnsi" w:hAnsiTheme="minorHAnsi" w:cs="Arial"/>
          <w:i/>
        </w:rPr>
        <w:t xml:space="preserve"> </w:t>
      </w:r>
      <w:r w:rsidR="00093CA7" w:rsidRPr="00632CE9">
        <w:rPr>
          <w:rFonts w:asciiTheme="minorHAnsi" w:hAnsiTheme="minorHAnsi" w:cs="Arial"/>
        </w:rPr>
        <w:t xml:space="preserve">Australia will seek </w:t>
      </w:r>
      <w:r w:rsidR="007F5BDD" w:rsidRPr="00632CE9">
        <w:rPr>
          <w:rFonts w:asciiTheme="minorHAnsi" w:hAnsiTheme="minorHAnsi" w:cs="Arial"/>
        </w:rPr>
        <w:t xml:space="preserve">to engage in these initiatives </w:t>
      </w:r>
      <w:r w:rsidR="00093CA7" w:rsidRPr="00632CE9">
        <w:rPr>
          <w:rFonts w:asciiTheme="minorHAnsi" w:hAnsiTheme="minorHAnsi" w:cs="Arial"/>
        </w:rPr>
        <w:t xml:space="preserve">to </w:t>
      </w:r>
      <w:r w:rsidR="007F5BDD" w:rsidRPr="00632CE9">
        <w:rPr>
          <w:rFonts w:asciiTheme="minorHAnsi" w:hAnsiTheme="minorHAnsi" w:cs="Arial"/>
        </w:rPr>
        <w:t>maximise efficiency and minimise duplication of global AMR research.</w:t>
      </w:r>
      <w:r w:rsidR="00EC3BBE" w:rsidRPr="00632CE9">
        <w:rPr>
          <w:b/>
          <w:bCs/>
        </w:rPr>
        <w:br w:type="page"/>
      </w:r>
    </w:p>
    <w:tbl>
      <w:tblPr>
        <w:tblStyle w:val="TableGrid"/>
        <w:tblW w:w="0" w:type="auto"/>
        <w:shd w:val="clear" w:color="auto" w:fill="D99594" w:themeFill="accent2" w:themeFillTint="99"/>
        <w:tblLook w:val="00A0" w:firstRow="1" w:lastRow="0" w:firstColumn="1" w:lastColumn="0" w:noHBand="0" w:noVBand="0"/>
        <w:tblCaption w:val="Objective 6: Strengthen international partnerships and collaboration on regional and global efforts to respond to AMR."/>
      </w:tblPr>
      <w:tblGrid>
        <w:gridCol w:w="9242"/>
      </w:tblGrid>
      <w:tr w:rsidR="004B457F" w:rsidRPr="00FA7F0A" w:rsidTr="00853C4E">
        <w:trPr>
          <w:tblHeader/>
        </w:trPr>
        <w:tc>
          <w:tcPr>
            <w:tcW w:w="9242" w:type="dxa"/>
            <w:shd w:val="clear" w:color="auto" w:fill="D99594" w:themeFill="accent2" w:themeFillTint="99"/>
          </w:tcPr>
          <w:p w:rsidR="004B457F" w:rsidRPr="00FA7F0A" w:rsidRDefault="00607BB6" w:rsidP="00D41907">
            <w:pPr>
              <w:pStyle w:val="Heading2"/>
              <w:outlineLvl w:val="1"/>
              <w:rPr>
                <w:color w:val="215868" w:themeColor="accent5" w:themeShade="80"/>
              </w:rPr>
            </w:pPr>
            <w:r>
              <w:lastRenderedPageBreak/>
              <w:br w:type="page"/>
            </w:r>
            <w:r w:rsidR="004B457F" w:rsidRPr="00FA7F0A">
              <w:br w:type="page"/>
            </w:r>
            <w:bookmarkStart w:id="13" w:name="_Toc498070420"/>
            <w:r w:rsidR="004B457F" w:rsidRPr="00FA7F0A">
              <w:t>Objective 6: Strengthen international partnerships and collaboration on regional and global efforts to respond to AMR.</w:t>
            </w:r>
            <w:bookmarkEnd w:id="13"/>
          </w:p>
        </w:tc>
      </w:tr>
    </w:tbl>
    <w:p w:rsidR="00853C4E" w:rsidRDefault="00853C4E" w:rsidP="00853C4E">
      <w:pPr>
        <w:rPr>
          <w:rFonts w:asciiTheme="minorHAnsi" w:hAnsiTheme="minorHAnsi"/>
        </w:rPr>
      </w:pPr>
    </w:p>
    <w:p w:rsidR="00853C4E" w:rsidRPr="004146B6" w:rsidRDefault="00853C4E" w:rsidP="00445D1A">
      <w:pPr>
        <w:pStyle w:val="Heading3"/>
      </w:pPr>
      <w:r w:rsidRPr="004146B6">
        <w:t>Introduction</w:t>
      </w:r>
    </w:p>
    <w:p w:rsidR="00853C4E" w:rsidRDefault="00853C4E" w:rsidP="00853C4E">
      <w:pPr>
        <w:rPr>
          <w:rFonts w:asciiTheme="minorHAnsi" w:hAnsiTheme="minorHAnsi" w:cs="Arial"/>
        </w:rPr>
      </w:pPr>
      <w:r w:rsidRPr="00753C6E">
        <w:rPr>
          <w:rFonts w:asciiTheme="minorHAnsi" w:hAnsiTheme="minorHAnsi" w:cs="Arial"/>
        </w:rPr>
        <w:t>A</w:t>
      </w:r>
      <w:r w:rsidR="0042784B">
        <w:rPr>
          <w:rFonts w:asciiTheme="minorHAnsi" w:hAnsiTheme="minorHAnsi" w:cs="Arial"/>
        </w:rPr>
        <w:t>ntimicrobial resistance</w:t>
      </w:r>
      <w:r w:rsidRPr="00753C6E">
        <w:rPr>
          <w:rFonts w:asciiTheme="minorHAnsi" w:hAnsiTheme="minorHAnsi" w:cs="Arial"/>
        </w:rPr>
        <w:t xml:space="preserve"> is a global issue that requires a global response. AMR </w:t>
      </w:r>
      <w:r w:rsidR="00471B1B">
        <w:rPr>
          <w:rFonts w:asciiTheme="minorHAnsi" w:hAnsiTheme="minorHAnsi" w:cs="Arial"/>
        </w:rPr>
        <w:t>potentially</w:t>
      </w:r>
      <w:r w:rsidRPr="00753C6E">
        <w:rPr>
          <w:rFonts w:asciiTheme="minorHAnsi" w:hAnsiTheme="minorHAnsi" w:cs="Arial"/>
        </w:rPr>
        <w:t xml:space="preserve"> affect</w:t>
      </w:r>
      <w:r w:rsidR="00471B1B">
        <w:rPr>
          <w:rFonts w:asciiTheme="minorHAnsi" w:hAnsiTheme="minorHAnsi" w:cs="Arial"/>
        </w:rPr>
        <w:t>s</w:t>
      </w:r>
      <w:r w:rsidRPr="00753C6E">
        <w:rPr>
          <w:rFonts w:asciiTheme="minorHAnsi" w:hAnsiTheme="minorHAnsi" w:cs="Arial"/>
        </w:rPr>
        <w:t xml:space="preserve"> </w:t>
      </w:r>
      <w:r w:rsidR="00471B1B" w:rsidRPr="00753C6E">
        <w:rPr>
          <w:rFonts w:asciiTheme="minorHAnsi" w:hAnsiTheme="minorHAnsi" w:cs="Arial"/>
        </w:rPr>
        <w:t>every</w:t>
      </w:r>
      <w:r w:rsidR="00471B1B">
        <w:rPr>
          <w:rFonts w:asciiTheme="minorHAnsi" w:hAnsiTheme="minorHAnsi" w:cs="Arial"/>
        </w:rPr>
        <w:t>one</w:t>
      </w:r>
      <w:r w:rsidRPr="00753C6E">
        <w:rPr>
          <w:rFonts w:asciiTheme="minorHAnsi" w:hAnsiTheme="minorHAnsi" w:cs="Arial"/>
        </w:rPr>
        <w:t>, regardless of where they live,</w:t>
      </w:r>
      <w:r w:rsidR="00471B1B">
        <w:rPr>
          <w:rFonts w:asciiTheme="minorHAnsi" w:hAnsiTheme="minorHAnsi" w:cs="Arial"/>
        </w:rPr>
        <w:t xml:space="preserve"> </w:t>
      </w:r>
      <w:r w:rsidRPr="00753C6E">
        <w:rPr>
          <w:rFonts w:asciiTheme="minorHAnsi" w:hAnsiTheme="minorHAnsi" w:cs="Arial"/>
        </w:rPr>
        <w:t>their health</w:t>
      </w:r>
      <w:r w:rsidR="0042784B">
        <w:rPr>
          <w:rFonts w:asciiTheme="minorHAnsi" w:hAnsiTheme="minorHAnsi" w:cs="Arial"/>
        </w:rPr>
        <w:t xml:space="preserve"> or </w:t>
      </w:r>
      <w:r w:rsidRPr="00753C6E">
        <w:rPr>
          <w:rFonts w:asciiTheme="minorHAnsi" w:hAnsiTheme="minorHAnsi" w:cs="Arial"/>
        </w:rPr>
        <w:t>economic circumstances. The increasing international movement of people, animals, food and other products increases the potential for AMR to spread rapidly across the worl</w:t>
      </w:r>
      <w:r>
        <w:rPr>
          <w:rFonts w:asciiTheme="minorHAnsi" w:hAnsiTheme="minorHAnsi" w:cs="Arial"/>
        </w:rPr>
        <w:t xml:space="preserve">d. </w:t>
      </w:r>
      <w:r w:rsidRPr="00753C6E">
        <w:rPr>
          <w:rFonts w:asciiTheme="minorHAnsi" w:hAnsiTheme="minorHAnsi" w:cs="Arial"/>
        </w:rPr>
        <w:t>Withou</w:t>
      </w:r>
      <w:r>
        <w:rPr>
          <w:rFonts w:asciiTheme="minorHAnsi" w:hAnsiTheme="minorHAnsi" w:cs="Arial"/>
        </w:rPr>
        <w:t xml:space="preserve">t international collaboration </w:t>
      </w:r>
      <w:r w:rsidRPr="00753C6E">
        <w:rPr>
          <w:rFonts w:asciiTheme="minorHAnsi" w:hAnsiTheme="minorHAnsi" w:cs="Arial"/>
        </w:rPr>
        <w:t>the efforts of individual countries to combat</w:t>
      </w:r>
      <w:r>
        <w:rPr>
          <w:rFonts w:asciiTheme="minorHAnsi" w:hAnsiTheme="minorHAnsi" w:cs="Arial"/>
        </w:rPr>
        <w:t xml:space="preserve"> AMR will be of limited value. </w:t>
      </w:r>
      <w:r w:rsidRPr="00753C6E">
        <w:rPr>
          <w:rFonts w:asciiTheme="minorHAnsi" w:hAnsiTheme="minorHAnsi" w:cs="Arial"/>
        </w:rPr>
        <w:t>Australia</w:t>
      </w:r>
      <w:r>
        <w:rPr>
          <w:rFonts w:asciiTheme="minorHAnsi" w:hAnsiTheme="minorHAnsi" w:cs="Arial"/>
        </w:rPr>
        <w:t xml:space="preserve"> is aligning its efforts, wherever possible, to provide support to </w:t>
      </w:r>
      <w:r w:rsidRPr="00753C6E">
        <w:rPr>
          <w:rFonts w:asciiTheme="minorHAnsi" w:hAnsiTheme="minorHAnsi" w:cs="Arial"/>
        </w:rPr>
        <w:t>our neigh</w:t>
      </w:r>
      <w:r>
        <w:rPr>
          <w:rFonts w:asciiTheme="minorHAnsi" w:hAnsiTheme="minorHAnsi" w:cs="Arial"/>
        </w:rPr>
        <w:t>bours, our region and globally.</w:t>
      </w:r>
    </w:p>
    <w:p w:rsidR="00853C4E" w:rsidRPr="00753C6E" w:rsidRDefault="00853C4E" w:rsidP="00853C4E">
      <w:pPr>
        <w:rPr>
          <w:rFonts w:asciiTheme="minorHAnsi" w:hAnsiTheme="minorHAnsi" w:cs="Arial"/>
        </w:rPr>
      </w:pPr>
    </w:p>
    <w:p w:rsidR="00853C4E" w:rsidRPr="004146B6" w:rsidRDefault="00853C4E" w:rsidP="00445D1A">
      <w:pPr>
        <w:pStyle w:val="Heading3"/>
      </w:pPr>
      <w:r w:rsidRPr="004146B6">
        <w:t>What have we achieved?</w:t>
      </w:r>
    </w:p>
    <w:p w:rsidR="00585209" w:rsidRPr="00AE0291" w:rsidRDefault="00585209" w:rsidP="00445D1A">
      <w:pPr>
        <w:pStyle w:val="Heading4"/>
      </w:pPr>
      <w:r w:rsidRPr="00AE0291">
        <w:t>One Health</w:t>
      </w:r>
    </w:p>
    <w:p w:rsidR="001453D0" w:rsidRPr="001453D0" w:rsidRDefault="001453D0" w:rsidP="001453D0">
      <w:pPr>
        <w:pStyle w:val="ListParagraph"/>
        <w:numPr>
          <w:ilvl w:val="0"/>
          <w:numId w:val="22"/>
        </w:numPr>
        <w:rPr>
          <w:rFonts w:asciiTheme="minorHAnsi" w:eastAsia="Calibri" w:hAnsiTheme="minorHAnsi"/>
        </w:rPr>
      </w:pPr>
      <w:r w:rsidRPr="001453D0">
        <w:rPr>
          <w:rFonts w:asciiTheme="minorHAnsi" w:eastAsia="Calibri" w:hAnsiTheme="minorHAnsi"/>
        </w:rPr>
        <w:t xml:space="preserve">Australia </w:t>
      </w:r>
      <w:r w:rsidR="00F25DCF">
        <w:rPr>
          <w:rFonts w:asciiTheme="minorHAnsi" w:eastAsia="Calibri" w:hAnsiTheme="minorHAnsi"/>
        </w:rPr>
        <w:t xml:space="preserve">is an active participant </w:t>
      </w:r>
      <w:r w:rsidRPr="001453D0">
        <w:rPr>
          <w:rFonts w:asciiTheme="minorHAnsi" w:eastAsia="Calibri" w:hAnsiTheme="minorHAnsi"/>
        </w:rPr>
        <w:t xml:space="preserve">in the international response </w:t>
      </w:r>
      <w:r w:rsidR="00F25DCF">
        <w:rPr>
          <w:rFonts w:asciiTheme="minorHAnsi" w:eastAsia="Calibri" w:hAnsiTheme="minorHAnsi"/>
        </w:rPr>
        <w:t xml:space="preserve">to AMR </w:t>
      </w:r>
      <w:r w:rsidRPr="001453D0">
        <w:rPr>
          <w:rFonts w:asciiTheme="minorHAnsi" w:eastAsia="Calibri" w:hAnsiTheme="minorHAnsi"/>
        </w:rPr>
        <w:t>including through the</w:t>
      </w:r>
      <w:r>
        <w:rPr>
          <w:rFonts w:asciiTheme="minorHAnsi" w:eastAsia="Calibri" w:hAnsiTheme="minorHAnsi"/>
        </w:rPr>
        <w:t xml:space="preserve"> </w:t>
      </w:r>
      <w:r w:rsidR="00CA5473">
        <w:rPr>
          <w:rFonts w:asciiTheme="minorHAnsi" w:eastAsia="Calibri" w:hAnsiTheme="minorHAnsi"/>
        </w:rPr>
        <w:t xml:space="preserve">United Nations General Assembly, </w:t>
      </w:r>
      <w:r>
        <w:rPr>
          <w:rFonts w:asciiTheme="minorHAnsi" w:eastAsia="Calibri" w:hAnsiTheme="minorHAnsi"/>
        </w:rPr>
        <w:t xml:space="preserve">G20, World Health </w:t>
      </w:r>
      <w:r w:rsidR="00093CA7">
        <w:rPr>
          <w:rFonts w:asciiTheme="minorHAnsi" w:eastAsia="Calibri" w:hAnsiTheme="minorHAnsi"/>
        </w:rPr>
        <w:t>Organization</w:t>
      </w:r>
      <w:r w:rsidR="009E442E">
        <w:rPr>
          <w:rFonts w:asciiTheme="minorHAnsi" w:eastAsia="Calibri" w:hAnsiTheme="minorHAnsi"/>
        </w:rPr>
        <w:t xml:space="preserve"> (WHO)</w:t>
      </w:r>
      <w:r w:rsidRPr="001453D0">
        <w:rPr>
          <w:rFonts w:asciiTheme="minorHAnsi" w:eastAsia="Calibri" w:hAnsiTheme="minorHAnsi"/>
        </w:rPr>
        <w:t xml:space="preserve">, </w:t>
      </w:r>
      <w:r w:rsidR="00703E44">
        <w:rPr>
          <w:rFonts w:asciiTheme="minorHAnsi" w:hAnsiTheme="minorHAnsi" w:cs="Arial"/>
        </w:rPr>
        <w:t>World Organis</w:t>
      </w:r>
      <w:r w:rsidR="00703E44" w:rsidRPr="006B6134">
        <w:rPr>
          <w:rFonts w:asciiTheme="minorHAnsi" w:hAnsiTheme="minorHAnsi" w:cs="Arial"/>
        </w:rPr>
        <w:t>ation for Animal Health (OIE)</w:t>
      </w:r>
      <w:r w:rsidR="00703E44">
        <w:rPr>
          <w:rFonts w:asciiTheme="minorHAnsi" w:hAnsiTheme="minorHAnsi" w:cs="Arial"/>
        </w:rPr>
        <w:t>,</w:t>
      </w:r>
      <w:r w:rsidR="00703E44" w:rsidRPr="006B6134">
        <w:rPr>
          <w:rFonts w:asciiTheme="minorHAnsi" w:hAnsiTheme="minorHAnsi" w:cs="Arial"/>
        </w:rPr>
        <w:t xml:space="preserve"> </w:t>
      </w:r>
      <w:r w:rsidR="003E3656">
        <w:rPr>
          <w:rFonts w:asciiTheme="minorHAnsi" w:hAnsiTheme="minorHAnsi" w:cs="Arial"/>
        </w:rPr>
        <w:t xml:space="preserve">Food and Agriculture Organization of the United Nations (FAO), </w:t>
      </w:r>
      <w:r w:rsidRPr="001453D0">
        <w:rPr>
          <w:rFonts w:asciiTheme="minorHAnsi" w:eastAsia="Calibri" w:hAnsiTheme="minorHAnsi"/>
        </w:rPr>
        <w:t>Organisation for Economic Co-operation and Development</w:t>
      </w:r>
      <w:r w:rsidR="009E442E">
        <w:rPr>
          <w:rFonts w:asciiTheme="minorHAnsi" w:eastAsia="Calibri" w:hAnsiTheme="minorHAnsi"/>
        </w:rPr>
        <w:t xml:space="preserve"> (OECD)</w:t>
      </w:r>
      <w:r w:rsidRPr="001453D0">
        <w:rPr>
          <w:rFonts w:asciiTheme="minorHAnsi" w:eastAsia="Calibri" w:hAnsiTheme="minorHAnsi"/>
        </w:rPr>
        <w:t xml:space="preserve"> and the Global Health Security Agenda</w:t>
      </w:r>
      <w:r w:rsidR="009E442E">
        <w:rPr>
          <w:rFonts w:asciiTheme="minorHAnsi" w:eastAsia="Calibri" w:hAnsiTheme="minorHAnsi"/>
        </w:rPr>
        <w:t xml:space="preserve"> (GHSA)</w:t>
      </w:r>
      <w:r w:rsidRPr="001453D0">
        <w:rPr>
          <w:rFonts w:asciiTheme="minorHAnsi" w:eastAsia="Calibri" w:hAnsiTheme="minorHAnsi"/>
        </w:rPr>
        <w:t>.</w:t>
      </w:r>
    </w:p>
    <w:p w:rsidR="00585209" w:rsidRDefault="00585209" w:rsidP="00D43418">
      <w:pPr>
        <w:pStyle w:val="ListParagraph"/>
        <w:numPr>
          <w:ilvl w:val="0"/>
          <w:numId w:val="22"/>
        </w:numPr>
        <w:spacing w:before="120" w:after="120"/>
        <w:contextualSpacing w:val="0"/>
        <w:rPr>
          <w:rFonts w:asciiTheme="minorHAnsi" w:hAnsiTheme="minorHAnsi" w:cs="Arial"/>
        </w:rPr>
      </w:pPr>
      <w:r w:rsidRPr="007E3597">
        <w:rPr>
          <w:rFonts w:asciiTheme="minorHAnsi" w:hAnsiTheme="minorHAnsi" w:cs="Arial"/>
        </w:rPr>
        <w:t xml:space="preserve">Australia’s National AMR Strategy is closely aligned with the WHO Global Action Plan (GAP) on </w:t>
      </w:r>
      <w:r w:rsidR="007E7E4E">
        <w:rPr>
          <w:rFonts w:asciiTheme="minorHAnsi" w:hAnsiTheme="minorHAnsi" w:cs="Arial"/>
        </w:rPr>
        <w:t>AMR</w:t>
      </w:r>
      <w:r w:rsidRPr="007E3597">
        <w:rPr>
          <w:rFonts w:asciiTheme="minorHAnsi" w:hAnsiTheme="minorHAnsi" w:cs="Arial"/>
        </w:rPr>
        <w:t xml:space="preserve">, </w:t>
      </w:r>
      <w:r w:rsidRPr="007E3597">
        <w:rPr>
          <w:rFonts w:asciiTheme="minorHAnsi" w:hAnsiTheme="minorHAnsi"/>
        </w:rPr>
        <w:t>which was endorsed as the global framework for tackling AMR by the World Health Assembly in May 2015 and the United Nations General Assembly in September 2016</w:t>
      </w:r>
      <w:r w:rsidRPr="007E3597">
        <w:rPr>
          <w:rFonts w:asciiTheme="minorHAnsi" w:hAnsiTheme="minorHAnsi" w:cs="Arial"/>
        </w:rPr>
        <w:t>.</w:t>
      </w:r>
      <w:r>
        <w:rPr>
          <w:rFonts w:asciiTheme="minorHAnsi" w:hAnsiTheme="minorHAnsi" w:cs="Arial"/>
        </w:rPr>
        <w:t xml:space="preserve"> As such, we are able to effectively contribute to global and regional initiatives consistent with the GAP.</w:t>
      </w:r>
    </w:p>
    <w:p w:rsidR="00585209" w:rsidRDefault="00585209" w:rsidP="00A440F9">
      <w:pPr>
        <w:pStyle w:val="ListParagraph"/>
        <w:numPr>
          <w:ilvl w:val="0"/>
          <w:numId w:val="22"/>
        </w:numPr>
        <w:spacing w:before="120" w:after="120"/>
        <w:contextualSpacing w:val="0"/>
        <w:rPr>
          <w:rFonts w:asciiTheme="minorHAnsi" w:hAnsiTheme="minorHAnsi" w:cs="Arial"/>
        </w:rPr>
      </w:pPr>
      <w:r w:rsidRPr="006F16FF">
        <w:rPr>
          <w:rFonts w:asciiTheme="minorHAnsi" w:hAnsiTheme="minorHAnsi" w:cs="Arial"/>
        </w:rPr>
        <w:t xml:space="preserve">Australia </w:t>
      </w:r>
      <w:r>
        <w:rPr>
          <w:rFonts w:asciiTheme="minorHAnsi" w:hAnsiTheme="minorHAnsi" w:cs="Arial"/>
        </w:rPr>
        <w:t xml:space="preserve">is </w:t>
      </w:r>
      <w:r w:rsidR="00AF5BB1">
        <w:rPr>
          <w:rFonts w:asciiTheme="minorHAnsi" w:hAnsiTheme="minorHAnsi" w:cs="Arial"/>
        </w:rPr>
        <w:t>involved in the</w:t>
      </w:r>
      <w:r>
        <w:rPr>
          <w:rFonts w:asciiTheme="minorHAnsi" w:hAnsiTheme="minorHAnsi" w:cs="Arial"/>
        </w:rPr>
        <w:t xml:space="preserve"> development of the antimicrobial stewardship a</w:t>
      </w:r>
      <w:r w:rsidR="00D3268E">
        <w:rPr>
          <w:rFonts w:asciiTheme="minorHAnsi" w:hAnsiTheme="minorHAnsi" w:cs="Arial"/>
        </w:rPr>
        <w:t>nd development framework, which is</w:t>
      </w:r>
      <w:r w:rsidR="00AF5BB1">
        <w:rPr>
          <w:rFonts w:asciiTheme="minorHAnsi" w:hAnsiTheme="minorHAnsi" w:cs="Arial"/>
        </w:rPr>
        <w:t xml:space="preserve"> a key element of the GAP. This will </w:t>
      </w:r>
      <w:r>
        <w:rPr>
          <w:rFonts w:asciiTheme="minorHAnsi" w:hAnsiTheme="minorHAnsi" w:cs="Arial"/>
        </w:rPr>
        <w:t>establish a global framework for stewarding the use of antimicrobials, including the preservation of both older antimicrobials and those developed through new global research and development partnerships, while ensuring appropriate access.</w:t>
      </w:r>
    </w:p>
    <w:p w:rsidR="00093CA7" w:rsidRDefault="00093CA7" w:rsidP="00A440F9">
      <w:pPr>
        <w:pStyle w:val="ListParagraph"/>
        <w:numPr>
          <w:ilvl w:val="0"/>
          <w:numId w:val="22"/>
        </w:numPr>
        <w:spacing w:before="120" w:after="120"/>
        <w:contextualSpacing w:val="0"/>
        <w:rPr>
          <w:rFonts w:asciiTheme="minorHAnsi" w:hAnsiTheme="minorHAnsi" w:cs="Arial"/>
        </w:rPr>
      </w:pPr>
      <w:r>
        <w:rPr>
          <w:rFonts w:asciiTheme="minorHAnsi" w:hAnsiTheme="minorHAnsi" w:cs="Arial"/>
        </w:rPr>
        <w:t>Australia also contributed to the development of the tripartite</w:t>
      </w:r>
      <w:r w:rsidR="00703E44">
        <w:rPr>
          <w:rFonts w:asciiTheme="minorHAnsi" w:hAnsiTheme="minorHAnsi" w:cs="Arial"/>
        </w:rPr>
        <w:t xml:space="preserve"> (WHO, OIE</w:t>
      </w:r>
      <w:r w:rsidR="0029797C">
        <w:rPr>
          <w:rFonts w:asciiTheme="minorHAnsi" w:hAnsiTheme="minorHAnsi" w:cs="Arial"/>
        </w:rPr>
        <w:t>,</w:t>
      </w:r>
      <w:r w:rsidR="00703E44">
        <w:rPr>
          <w:rFonts w:asciiTheme="minorHAnsi" w:hAnsiTheme="minorHAnsi" w:cs="Arial"/>
        </w:rPr>
        <w:t xml:space="preserve"> </w:t>
      </w:r>
      <w:r w:rsidR="00A440F9">
        <w:rPr>
          <w:rFonts w:asciiTheme="minorHAnsi" w:hAnsiTheme="minorHAnsi" w:cs="Arial"/>
        </w:rPr>
        <w:t>FAO</w:t>
      </w:r>
      <w:r w:rsidR="0029797C">
        <w:rPr>
          <w:rFonts w:asciiTheme="minorHAnsi" w:hAnsiTheme="minorHAnsi" w:cs="Arial"/>
        </w:rPr>
        <w:t>)</w:t>
      </w:r>
      <w:r>
        <w:rPr>
          <w:rFonts w:asciiTheme="minorHAnsi" w:hAnsiTheme="minorHAnsi" w:cs="Arial"/>
        </w:rPr>
        <w:t xml:space="preserve"> </w:t>
      </w:r>
      <w:r w:rsidR="0029797C" w:rsidRPr="00E03FC9">
        <w:rPr>
          <w:rFonts w:asciiTheme="minorHAnsi" w:hAnsiTheme="minorHAnsi" w:cs="Arial"/>
          <w:i/>
        </w:rPr>
        <w:t>Monitoring and E</w:t>
      </w:r>
      <w:r w:rsidRPr="00E03FC9">
        <w:rPr>
          <w:rFonts w:asciiTheme="minorHAnsi" w:hAnsiTheme="minorHAnsi" w:cs="Arial"/>
          <w:i/>
        </w:rPr>
        <w:t xml:space="preserve">valuation of the Global Action Plan on </w:t>
      </w:r>
      <w:r w:rsidR="007E7E4E" w:rsidRPr="00E03FC9">
        <w:rPr>
          <w:rFonts w:asciiTheme="minorHAnsi" w:hAnsiTheme="minorHAnsi" w:cs="Arial"/>
          <w:i/>
        </w:rPr>
        <w:t>AMR</w:t>
      </w:r>
      <w:r>
        <w:rPr>
          <w:rFonts w:asciiTheme="minorHAnsi" w:hAnsiTheme="minorHAnsi" w:cs="Arial"/>
        </w:rPr>
        <w:t xml:space="preserve"> through the online consultation process.</w:t>
      </w:r>
    </w:p>
    <w:p w:rsidR="00D3268E" w:rsidRDefault="00585209" w:rsidP="00D43418">
      <w:pPr>
        <w:pStyle w:val="ListParagraph"/>
        <w:numPr>
          <w:ilvl w:val="0"/>
          <w:numId w:val="22"/>
        </w:numPr>
        <w:spacing w:before="120" w:after="120"/>
        <w:contextualSpacing w:val="0"/>
        <w:rPr>
          <w:rFonts w:asciiTheme="minorHAnsi" w:hAnsiTheme="minorHAnsi" w:cs="Arial"/>
        </w:rPr>
      </w:pPr>
      <w:r w:rsidRPr="00AC76CE">
        <w:rPr>
          <w:rFonts w:asciiTheme="minorHAnsi" w:hAnsiTheme="minorHAnsi" w:cs="Arial"/>
        </w:rPr>
        <w:t>Australia co-chaired the Codex physical working group (PWG) on AMR</w:t>
      </w:r>
      <w:r w:rsidR="00E03FC9">
        <w:rPr>
          <w:rFonts w:asciiTheme="minorHAnsi" w:hAnsiTheme="minorHAnsi" w:cs="Arial"/>
        </w:rPr>
        <w:t>,</w:t>
      </w:r>
      <w:r w:rsidRPr="00AC76CE">
        <w:rPr>
          <w:rFonts w:asciiTheme="minorHAnsi" w:hAnsiTheme="minorHAnsi" w:cs="Arial"/>
        </w:rPr>
        <w:t xml:space="preserve"> which was held from 29 November to 1 December 2016 in London.</w:t>
      </w:r>
    </w:p>
    <w:p w:rsidR="00585209" w:rsidRPr="00AC76CE" w:rsidRDefault="00585209" w:rsidP="00D3268E">
      <w:pPr>
        <w:pStyle w:val="ListParagraph"/>
        <w:numPr>
          <w:ilvl w:val="1"/>
          <w:numId w:val="22"/>
        </w:numPr>
        <w:spacing w:before="120" w:after="120"/>
        <w:contextualSpacing w:val="0"/>
        <w:rPr>
          <w:rFonts w:asciiTheme="minorHAnsi" w:hAnsiTheme="minorHAnsi" w:cs="Arial"/>
        </w:rPr>
      </w:pPr>
      <w:r w:rsidRPr="00AC76CE">
        <w:rPr>
          <w:rFonts w:asciiTheme="minorHAnsi" w:hAnsiTheme="minorHAnsi" w:cs="Arial"/>
        </w:rPr>
        <w:t xml:space="preserve">The PWG developed two project documents for approval of new work by the Codex Alimentarius Commission and the Terms of Reference for scientific advice from the </w:t>
      </w:r>
      <w:r w:rsidR="00E03FC9">
        <w:rPr>
          <w:rFonts w:asciiTheme="minorHAnsi" w:hAnsiTheme="minorHAnsi" w:cs="Arial"/>
        </w:rPr>
        <w:t xml:space="preserve">FAO </w:t>
      </w:r>
      <w:r w:rsidRPr="00AC76CE">
        <w:rPr>
          <w:rFonts w:asciiTheme="minorHAnsi" w:hAnsiTheme="minorHAnsi" w:cs="Arial"/>
        </w:rPr>
        <w:t xml:space="preserve">and </w:t>
      </w:r>
      <w:r w:rsidR="009E442E">
        <w:rPr>
          <w:rFonts w:asciiTheme="minorHAnsi" w:hAnsiTheme="minorHAnsi" w:cs="Arial"/>
        </w:rPr>
        <w:t>WHO</w:t>
      </w:r>
      <w:r w:rsidRPr="00AC76CE">
        <w:rPr>
          <w:rFonts w:asciiTheme="minorHAnsi" w:hAnsiTheme="minorHAnsi" w:cs="Arial"/>
        </w:rPr>
        <w:t>. The 40</w:t>
      </w:r>
      <w:r w:rsidRPr="00AC76CE">
        <w:rPr>
          <w:rFonts w:asciiTheme="minorHAnsi" w:hAnsiTheme="minorHAnsi" w:cs="Arial"/>
          <w:vertAlign w:val="superscript"/>
        </w:rPr>
        <w:t>th</w:t>
      </w:r>
      <w:r w:rsidRPr="00AC76CE">
        <w:rPr>
          <w:rFonts w:asciiTheme="minorHAnsi" w:hAnsiTheme="minorHAnsi" w:cs="Arial"/>
        </w:rPr>
        <w:t xml:space="preserve"> Session of the Codex Alimentarius Commission (July 2017) approved the new work and agreed to establish electronic working groups to start development. Australia will participate in the development of the guidelines through the electronic working groups and will attend the session of the Codex Task Force on AMR</w:t>
      </w:r>
      <w:r w:rsidR="00E03FC9">
        <w:rPr>
          <w:rFonts w:asciiTheme="minorHAnsi" w:hAnsiTheme="minorHAnsi" w:cs="Arial"/>
        </w:rPr>
        <w:t>,</w:t>
      </w:r>
      <w:r w:rsidRPr="00AC76CE">
        <w:rPr>
          <w:rFonts w:asciiTheme="minorHAnsi" w:hAnsiTheme="minorHAnsi" w:cs="Arial"/>
        </w:rPr>
        <w:t xml:space="preserve"> which is scheduled to be held from 27 November to 1 December 2017 in the Republic of Korea.</w:t>
      </w:r>
    </w:p>
    <w:p w:rsidR="00585209" w:rsidRPr="00B03B46" w:rsidRDefault="00585209" w:rsidP="00B03B46">
      <w:pPr>
        <w:pStyle w:val="ListParagraph"/>
        <w:numPr>
          <w:ilvl w:val="0"/>
          <w:numId w:val="22"/>
        </w:numPr>
        <w:spacing w:before="120" w:after="120"/>
        <w:contextualSpacing w:val="0"/>
        <w:rPr>
          <w:rFonts w:asciiTheme="minorHAnsi" w:hAnsiTheme="minorHAnsi" w:cs="Arial"/>
        </w:rPr>
      </w:pPr>
      <w:r w:rsidRPr="00B03B46">
        <w:rPr>
          <w:rFonts w:asciiTheme="minorHAnsi" w:hAnsiTheme="minorHAnsi" w:cs="Arial"/>
        </w:rPr>
        <w:lastRenderedPageBreak/>
        <w:t xml:space="preserve">The Australian Government Department of Agriculture and </w:t>
      </w:r>
      <w:r w:rsidR="00B03B46" w:rsidRPr="00B03B46">
        <w:rPr>
          <w:rFonts w:asciiTheme="minorHAnsi" w:hAnsiTheme="minorHAnsi" w:cs="Arial"/>
        </w:rPr>
        <w:t xml:space="preserve">Water Resources </w:t>
      </w:r>
      <w:r w:rsidR="00FD5373">
        <w:rPr>
          <w:rFonts w:asciiTheme="minorHAnsi" w:hAnsiTheme="minorHAnsi" w:cs="Arial"/>
        </w:rPr>
        <w:t>has completed</w:t>
      </w:r>
      <w:r w:rsidR="00B03B46">
        <w:rPr>
          <w:rFonts w:asciiTheme="minorHAnsi" w:hAnsiTheme="minorHAnsi" w:cs="Arial"/>
        </w:rPr>
        <w:t xml:space="preserve">: </w:t>
      </w:r>
      <w:r w:rsidRPr="00B03B46">
        <w:rPr>
          <w:rFonts w:asciiTheme="minorHAnsi" w:hAnsiTheme="minorHAnsi" w:cs="Arial"/>
        </w:rPr>
        <w:t xml:space="preserve">two annual </w:t>
      </w:r>
      <w:r w:rsidR="00703E44">
        <w:rPr>
          <w:rFonts w:asciiTheme="minorHAnsi" w:hAnsiTheme="minorHAnsi" w:cs="Arial"/>
        </w:rPr>
        <w:t>OIE</w:t>
      </w:r>
      <w:r w:rsidR="00494333" w:rsidRPr="006B6134">
        <w:rPr>
          <w:rFonts w:asciiTheme="minorHAnsi" w:hAnsiTheme="minorHAnsi" w:cs="Arial"/>
        </w:rPr>
        <w:t xml:space="preserve"> </w:t>
      </w:r>
      <w:r w:rsidRPr="00B03B46">
        <w:rPr>
          <w:rFonts w:asciiTheme="minorHAnsi" w:hAnsiTheme="minorHAnsi" w:cs="Arial"/>
        </w:rPr>
        <w:t>antimicrobial usage questionnaires for Australia since 2015</w:t>
      </w:r>
      <w:r w:rsidR="00B03B46" w:rsidRPr="00B03B46">
        <w:rPr>
          <w:rFonts w:asciiTheme="minorHAnsi" w:hAnsiTheme="minorHAnsi" w:cs="Arial"/>
        </w:rPr>
        <w:t xml:space="preserve">; </w:t>
      </w:r>
      <w:r w:rsidRPr="00B03B46">
        <w:rPr>
          <w:rFonts w:asciiTheme="minorHAnsi" w:hAnsiTheme="minorHAnsi" w:cs="Arial"/>
        </w:rPr>
        <w:t xml:space="preserve">another OIE questionnaire for Australia to support the OIE General Session May 2017 Technical item 1 (Global action to alleviate the threat of </w:t>
      </w:r>
      <w:r w:rsidR="007E7E4E">
        <w:rPr>
          <w:rFonts w:asciiTheme="minorHAnsi" w:hAnsiTheme="minorHAnsi" w:cs="Arial"/>
        </w:rPr>
        <w:t>AMR</w:t>
      </w:r>
      <w:r w:rsidRPr="00B03B46">
        <w:rPr>
          <w:rFonts w:asciiTheme="minorHAnsi" w:hAnsiTheme="minorHAnsi" w:cs="Arial"/>
        </w:rPr>
        <w:t>: progress and opportunities for future activities under the One health initiative)</w:t>
      </w:r>
      <w:r w:rsidR="00B03B46" w:rsidRPr="00B03B46">
        <w:rPr>
          <w:rFonts w:asciiTheme="minorHAnsi" w:hAnsiTheme="minorHAnsi" w:cs="Arial"/>
        </w:rPr>
        <w:t>; and</w:t>
      </w:r>
      <w:r w:rsidR="00B03B46">
        <w:rPr>
          <w:rFonts w:asciiTheme="minorHAnsi" w:hAnsiTheme="minorHAnsi" w:cs="Arial"/>
        </w:rPr>
        <w:t>,</w:t>
      </w:r>
      <w:r w:rsidR="00B03B46" w:rsidRPr="00B03B46">
        <w:rPr>
          <w:rFonts w:asciiTheme="minorHAnsi" w:hAnsiTheme="minorHAnsi" w:cs="Arial"/>
        </w:rPr>
        <w:t xml:space="preserve"> </w:t>
      </w:r>
      <w:r w:rsidR="009E442E">
        <w:rPr>
          <w:rFonts w:asciiTheme="minorHAnsi" w:hAnsiTheme="minorHAnsi" w:cs="Arial"/>
        </w:rPr>
        <w:t>a WHO</w:t>
      </w:r>
      <w:r w:rsidRPr="00B03B46">
        <w:rPr>
          <w:rFonts w:asciiTheme="minorHAnsi" w:hAnsiTheme="minorHAnsi" w:cs="Arial"/>
        </w:rPr>
        <w:t xml:space="preserve"> questionnaire on AMR in Australia.</w:t>
      </w:r>
    </w:p>
    <w:p w:rsidR="00585209" w:rsidRPr="00AE0291" w:rsidRDefault="00585209" w:rsidP="00445D1A">
      <w:pPr>
        <w:pStyle w:val="Heading4"/>
      </w:pPr>
      <w:r w:rsidRPr="00AE0291">
        <w:t xml:space="preserve">Human </w:t>
      </w:r>
      <w:r w:rsidR="00A93797" w:rsidRPr="00AE0291">
        <w:t>H</w:t>
      </w:r>
      <w:r w:rsidRPr="00AE0291">
        <w:t>ealth</w:t>
      </w:r>
    </w:p>
    <w:p w:rsidR="00D43418" w:rsidRDefault="00585209" w:rsidP="00C579B6">
      <w:pPr>
        <w:pStyle w:val="ListParagraph"/>
        <w:numPr>
          <w:ilvl w:val="0"/>
          <w:numId w:val="22"/>
        </w:numPr>
        <w:spacing w:before="120" w:after="120"/>
        <w:contextualSpacing w:val="0"/>
        <w:rPr>
          <w:rFonts w:asciiTheme="minorHAnsi" w:hAnsiTheme="minorHAnsi" w:cs="Arial"/>
        </w:rPr>
      </w:pPr>
      <w:r w:rsidRPr="00D43418">
        <w:rPr>
          <w:rFonts w:asciiTheme="minorHAnsi" w:hAnsiTheme="minorHAnsi" w:cs="Arial"/>
        </w:rPr>
        <w:t>Australia is</w:t>
      </w:r>
      <w:r w:rsidR="00853C4E" w:rsidRPr="00D43418">
        <w:rPr>
          <w:rFonts w:asciiTheme="minorHAnsi" w:hAnsiTheme="minorHAnsi" w:cs="Arial"/>
        </w:rPr>
        <w:t xml:space="preserve"> working with the WHO Western Pacific Regional Office on regional AMR initiatives, including through information sharing and the provision of expertise and best-practice resources to promote the development and implementation of AMR National Action Plans in countries in our region.</w:t>
      </w:r>
    </w:p>
    <w:p w:rsidR="00853C4E" w:rsidRPr="00D43418" w:rsidRDefault="00853C4E" w:rsidP="00C579B6">
      <w:pPr>
        <w:pStyle w:val="ListParagraph"/>
        <w:numPr>
          <w:ilvl w:val="0"/>
          <w:numId w:val="22"/>
        </w:numPr>
        <w:spacing w:before="120" w:after="120"/>
        <w:contextualSpacing w:val="0"/>
        <w:rPr>
          <w:rFonts w:asciiTheme="minorHAnsi" w:hAnsiTheme="minorHAnsi" w:cs="Arial"/>
        </w:rPr>
      </w:pPr>
      <w:r w:rsidRPr="00D43418">
        <w:rPr>
          <w:rFonts w:asciiTheme="minorHAnsi" w:hAnsiTheme="minorHAnsi" w:cs="Arial"/>
        </w:rPr>
        <w:t xml:space="preserve">For example, the National Centre for Antimicrobial Stewardship (NCAS) has been working with the WHO on an antimicrobial stewardship (AMS) training framework for low- and middle-income countries in the Asia-Pacific region. In 2016, NCAS undertook country-specific AMS gap analyses for Laos, Vietnam, Mongolia and the Philippines. NCAS has undertaken AMS educational activities in Vietnam and Malaysia, as well as information exchanges with </w:t>
      </w:r>
      <w:r w:rsidR="00E82911">
        <w:rPr>
          <w:rFonts w:asciiTheme="minorHAnsi" w:hAnsiTheme="minorHAnsi" w:cs="Arial"/>
        </w:rPr>
        <w:t xml:space="preserve">the </w:t>
      </w:r>
      <w:r w:rsidRPr="00D43418">
        <w:rPr>
          <w:rFonts w:asciiTheme="minorHAnsi" w:hAnsiTheme="minorHAnsi" w:cs="Arial"/>
        </w:rPr>
        <w:t>WHO Western Pacific Regional Office, focusing on surveillance of antimicrobial use, diagnostics, research in AMS, and AMS implementation</w:t>
      </w:r>
      <w:r w:rsidR="00BE3EB2" w:rsidRPr="00D43418">
        <w:rPr>
          <w:rFonts w:asciiTheme="minorHAnsi" w:hAnsiTheme="minorHAnsi" w:cs="Arial"/>
        </w:rPr>
        <w:t>.</w:t>
      </w:r>
    </w:p>
    <w:p w:rsidR="00AC76CE" w:rsidRPr="00AE0291" w:rsidRDefault="00AC76CE" w:rsidP="00445D1A">
      <w:pPr>
        <w:pStyle w:val="Heading4"/>
      </w:pPr>
      <w:r w:rsidRPr="00AE0291">
        <w:t>Animal Health and Agriculture</w:t>
      </w:r>
    </w:p>
    <w:p w:rsidR="00AC76CE" w:rsidRPr="00AC76CE" w:rsidRDefault="00AC76CE" w:rsidP="00D43418">
      <w:pPr>
        <w:pStyle w:val="ListParagraph"/>
        <w:numPr>
          <w:ilvl w:val="0"/>
          <w:numId w:val="4"/>
        </w:numPr>
        <w:spacing w:before="120" w:after="120"/>
        <w:contextualSpacing w:val="0"/>
        <w:rPr>
          <w:rFonts w:asciiTheme="minorHAnsi" w:hAnsiTheme="minorHAnsi" w:cs="Arial"/>
        </w:rPr>
      </w:pPr>
      <w:r w:rsidRPr="00AC76CE">
        <w:rPr>
          <w:rFonts w:asciiTheme="minorHAnsi" w:hAnsiTheme="minorHAnsi" w:cs="Arial"/>
        </w:rPr>
        <w:t xml:space="preserve">The University of Queensland commenced a study identifying current antimicrobial usage and AMR in commensal </w:t>
      </w:r>
      <w:r w:rsidRPr="00583135">
        <w:rPr>
          <w:rFonts w:asciiTheme="minorHAnsi" w:hAnsiTheme="minorHAnsi" w:cs="Arial"/>
          <w:i/>
        </w:rPr>
        <w:t>E. coli</w:t>
      </w:r>
      <w:r w:rsidRPr="00AC76CE">
        <w:rPr>
          <w:rFonts w:asciiTheme="minorHAnsi" w:hAnsiTheme="minorHAnsi" w:cs="Arial"/>
        </w:rPr>
        <w:t xml:space="preserve"> on integrated chicken</w:t>
      </w:r>
      <w:r w:rsidRPr="00D43418">
        <w:rPr>
          <w:rFonts w:asciiTheme="minorHAnsi" w:hAnsiTheme="minorHAnsi" w:cs="Arial"/>
        </w:rPr>
        <w:t>‐</w:t>
      </w:r>
      <w:r w:rsidRPr="00AC76CE">
        <w:rPr>
          <w:rFonts w:asciiTheme="minorHAnsi" w:hAnsiTheme="minorHAnsi" w:cs="Arial"/>
        </w:rPr>
        <w:t>fish farms in Myanmar and development of research capacity in AMR diagnosis at the University of Veterinary Science, Myanmar. The study is due for completion in 2017.</w:t>
      </w:r>
    </w:p>
    <w:p w:rsidR="00AC76CE" w:rsidRPr="00D43418" w:rsidRDefault="00AC76CE" w:rsidP="00D43418">
      <w:pPr>
        <w:pStyle w:val="ListParagraph"/>
        <w:numPr>
          <w:ilvl w:val="0"/>
          <w:numId w:val="4"/>
        </w:numPr>
        <w:spacing w:before="120" w:after="120"/>
        <w:contextualSpacing w:val="0"/>
        <w:rPr>
          <w:rFonts w:asciiTheme="minorHAnsi" w:hAnsiTheme="minorHAnsi" w:cs="Arial"/>
        </w:rPr>
      </w:pPr>
      <w:r w:rsidRPr="00D43418">
        <w:rPr>
          <w:rFonts w:asciiTheme="minorHAnsi" w:hAnsiTheme="minorHAnsi" w:cs="Arial"/>
        </w:rPr>
        <w:t>The Uni</w:t>
      </w:r>
      <w:r w:rsidR="00BE3EB2" w:rsidRPr="00D43418">
        <w:rPr>
          <w:rFonts w:asciiTheme="minorHAnsi" w:hAnsiTheme="minorHAnsi" w:cs="Arial"/>
        </w:rPr>
        <w:t>v</w:t>
      </w:r>
      <w:r w:rsidRPr="00D43418">
        <w:rPr>
          <w:rFonts w:asciiTheme="minorHAnsi" w:hAnsiTheme="minorHAnsi" w:cs="Arial"/>
        </w:rPr>
        <w:t>ersity of Queensland is conducting research with the International Livestock Research Institute. Th</w:t>
      </w:r>
      <w:r w:rsidR="00830488" w:rsidRPr="00D43418">
        <w:rPr>
          <w:rFonts w:asciiTheme="minorHAnsi" w:hAnsiTheme="minorHAnsi" w:cs="Arial"/>
        </w:rPr>
        <w:t>is</w:t>
      </w:r>
      <w:r w:rsidRPr="00D43418">
        <w:rPr>
          <w:rFonts w:asciiTheme="minorHAnsi" w:hAnsiTheme="minorHAnsi" w:cs="Arial"/>
        </w:rPr>
        <w:t xml:space="preserve"> research aims to inform effective antimicrobial stewardship policy and action through an understanding of how antibiotics are used in the livelihood strategies of smallholder farmers and their</w:t>
      </w:r>
      <w:r w:rsidR="007F5BDD">
        <w:rPr>
          <w:rFonts w:asciiTheme="minorHAnsi" w:hAnsiTheme="minorHAnsi" w:cs="Arial"/>
        </w:rPr>
        <w:t xml:space="preserve"> animal health networks in Viet</w:t>
      </w:r>
      <w:r w:rsidR="00583135">
        <w:rPr>
          <w:rFonts w:asciiTheme="minorHAnsi" w:hAnsiTheme="minorHAnsi" w:cs="Arial"/>
        </w:rPr>
        <w:t>n</w:t>
      </w:r>
      <w:r w:rsidRPr="00D43418">
        <w:rPr>
          <w:rFonts w:asciiTheme="minorHAnsi" w:hAnsiTheme="minorHAnsi" w:cs="Arial"/>
        </w:rPr>
        <w:t>am.</w:t>
      </w:r>
    </w:p>
    <w:p w:rsidR="00853C4E" w:rsidRPr="004146B6" w:rsidRDefault="00853C4E" w:rsidP="00445D1A">
      <w:pPr>
        <w:pStyle w:val="Heading3"/>
      </w:pPr>
      <w:r w:rsidRPr="004146B6">
        <w:t>What are our challenges?</w:t>
      </w:r>
    </w:p>
    <w:p w:rsidR="004A35F6" w:rsidRDefault="00853C4E" w:rsidP="00C7027D">
      <w:pPr>
        <w:pStyle w:val="ListParagraph"/>
        <w:numPr>
          <w:ilvl w:val="0"/>
          <w:numId w:val="4"/>
        </w:numPr>
        <w:spacing w:before="120" w:after="120"/>
        <w:contextualSpacing w:val="0"/>
        <w:rPr>
          <w:rFonts w:asciiTheme="minorHAnsi" w:hAnsiTheme="minorHAnsi" w:cs="Arial"/>
        </w:rPr>
      </w:pPr>
      <w:r>
        <w:rPr>
          <w:rFonts w:asciiTheme="minorHAnsi" w:hAnsiTheme="minorHAnsi" w:cs="Arial"/>
        </w:rPr>
        <w:t xml:space="preserve">Australia has limited resources to directly invest in the development and implementation of AMR National Action Plans in countries in our region. </w:t>
      </w:r>
      <w:r w:rsidRPr="004A35F6">
        <w:rPr>
          <w:rFonts w:asciiTheme="minorHAnsi" w:hAnsiTheme="minorHAnsi" w:cs="Arial"/>
        </w:rPr>
        <w:t>Despite this, our in</w:t>
      </w:r>
      <w:r w:rsidR="00830488">
        <w:rPr>
          <w:rFonts w:asciiTheme="minorHAnsi" w:hAnsiTheme="minorHAnsi" w:cs="Arial"/>
        </w:rPr>
        <w:t>-</w:t>
      </w:r>
      <w:r w:rsidRPr="004A35F6">
        <w:rPr>
          <w:rFonts w:asciiTheme="minorHAnsi" w:hAnsiTheme="minorHAnsi" w:cs="Arial"/>
        </w:rPr>
        <w:t xml:space="preserve">kind contributions of best-practice resources and expertise are highly valued. </w:t>
      </w:r>
      <w:r w:rsidR="00830488">
        <w:rPr>
          <w:rFonts w:asciiTheme="minorHAnsi" w:hAnsiTheme="minorHAnsi" w:cs="Arial"/>
        </w:rPr>
        <w:t>For example, c</w:t>
      </w:r>
      <w:r w:rsidRPr="004A35F6">
        <w:rPr>
          <w:rFonts w:asciiTheme="minorHAnsi" w:hAnsiTheme="minorHAnsi" w:cs="Arial"/>
        </w:rPr>
        <w:t>ountries in the Western Pacific continue to look to Australia to provide leadership and best-practice approaches to combat AMR.</w:t>
      </w:r>
    </w:p>
    <w:p w:rsidR="004A35F6" w:rsidRPr="004A35F6" w:rsidRDefault="004A35F6" w:rsidP="00C7027D">
      <w:pPr>
        <w:pStyle w:val="ListParagraph"/>
        <w:numPr>
          <w:ilvl w:val="0"/>
          <w:numId w:val="4"/>
        </w:numPr>
        <w:spacing w:before="120" w:after="120"/>
        <w:contextualSpacing w:val="0"/>
        <w:rPr>
          <w:rFonts w:asciiTheme="minorHAnsi" w:hAnsiTheme="minorHAnsi" w:cs="Arial"/>
        </w:rPr>
      </w:pPr>
      <w:r>
        <w:rPr>
          <w:rFonts w:asciiTheme="minorHAnsi" w:hAnsiTheme="minorHAnsi" w:cs="Arial"/>
        </w:rPr>
        <w:t xml:space="preserve">There are many international groups showing significant interest in the issue of AMR, and many initiatives progressing in parallel. The challenge is to ensure duplication of effort is minimised and that appropriate links are made to maximise effort. </w:t>
      </w:r>
      <w:r w:rsidR="008E0831">
        <w:rPr>
          <w:rFonts w:asciiTheme="minorHAnsi" w:hAnsiTheme="minorHAnsi" w:cs="Arial"/>
        </w:rPr>
        <w:t xml:space="preserve">The work of the United Nations Interagency Coordination Group on AMR will be critical to assisting efforts to </w:t>
      </w:r>
      <w:r w:rsidR="00583135">
        <w:rPr>
          <w:rFonts w:asciiTheme="minorHAnsi" w:hAnsiTheme="minorHAnsi" w:cs="Arial"/>
        </w:rPr>
        <w:t xml:space="preserve">coordinate </w:t>
      </w:r>
      <w:r w:rsidR="008E0831">
        <w:rPr>
          <w:rFonts w:asciiTheme="minorHAnsi" w:hAnsiTheme="minorHAnsi" w:cs="Arial"/>
        </w:rPr>
        <w:t>the wide range of work being conducted.</w:t>
      </w:r>
    </w:p>
    <w:p w:rsidR="00C7027D" w:rsidRPr="00C7027D" w:rsidRDefault="00C7027D" w:rsidP="00C7027D">
      <w:pPr>
        <w:pStyle w:val="ListParagraph"/>
        <w:numPr>
          <w:ilvl w:val="0"/>
          <w:numId w:val="4"/>
        </w:numPr>
        <w:spacing w:before="120" w:after="120"/>
        <w:contextualSpacing w:val="0"/>
        <w:rPr>
          <w:rFonts w:asciiTheme="minorHAnsi" w:hAnsiTheme="minorHAnsi" w:cs="Arial"/>
        </w:rPr>
      </w:pPr>
      <w:r w:rsidRPr="00C7027D">
        <w:rPr>
          <w:rFonts w:asciiTheme="minorHAnsi" w:hAnsiTheme="minorHAnsi" w:cs="Arial"/>
        </w:rPr>
        <w:t>Australian surveillance systems need</w:t>
      </w:r>
      <w:r>
        <w:rPr>
          <w:rFonts w:asciiTheme="minorHAnsi" w:hAnsiTheme="minorHAnsi" w:cs="Arial"/>
        </w:rPr>
        <w:t xml:space="preserve"> capacity</w:t>
      </w:r>
      <w:r w:rsidRPr="00C7027D">
        <w:rPr>
          <w:rFonts w:asciiTheme="minorHAnsi" w:hAnsiTheme="minorHAnsi" w:cs="Arial"/>
        </w:rPr>
        <w:t xml:space="preserve"> to contribute to </w:t>
      </w:r>
      <w:r>
        <w:rPr>
          <w:rFonts w:asciiTheme="minorHAnsi" w:hAnsiTheme="minorHAnsi" w:cs="Arial"/>
        </w:rPr>
        <w:t xml:space="preserve">the WHO and OIE </w:t>
      </w:r>
      <w:r w:rsidRPr="00C7027D">
        <w:rPr>
          <w:rFonts w:asciiTheme="minorHAnsi" w:hAnsiTheme="minorHAnsi" w:cs="Arial"/>
        </w:rPr>
        <w:t>global surveillance systems.</w:t>
      </w:r>
    </w:p>
    <w:p w:rsidR="00C7027D" w:rsidRPr="00C7027D" w:rsidRDefault="00D56BF5" w:rsidP="00C7027D">
      <w:pPr>
        <w:pStyle w:val="ListParagraph"/>
        <w:numPr>
          <w:ilvl w:val="0"/>
          <w:numId w:val="4"/>
        </w:numPr>
        <w:spacing w:before="120" w:after="120"/>
        <w:contextualSpacing w:val="0"/>
      </w:pPr>
      <w:r w:rsidRPr="00C7027D">
        <w:rPr>
          <w:rFonts w:asciiTheme="minorHAnsi" w:hAnsiTheme="minorHAnsi" w:cs="Arial"/>
        </w:rPr>
        <w:lastRenderedPageBreak/>
        <w:t xml:space="preserve">The OIE’s request for antimicrobial use data </w:t>
      </w:r>
      <w:r w:rsidR="00830488" w:rsidRPr="00C7027D">
        <w:rPr>
          <w:rFonts w:asciiTheme="minorHAnsi" w:hAnsiTheme="minorHAnsi" w:cs="Arial"/>
        </w:rPr>
        <w:t xml:space="preserve">in animals </w:t>
      </w:r>
      <w:r w:rsidRPr="00C7027D">
        <w:rPr>
          <w:rFonts w:asciiTheme="minorHAnsi" w:hAnsiTheme="minorHAnsi" w:cs="Arial"/>
        </w:rPr>
        <w:t xml:space="preserve">will be ongoing. Australia is refining its processes and creating a better system to meet these international reporting obligations to support global AMR mitigation. </w:t>
      </w:r>
      <w:r w:rsidR="00830488" w:rsidRPr="00C7027D">
        <w:rPr>
          <w:rFonts w:asciiTheme="minorHAnsi" w:hAnsiTheme="minorHAnsi" w:cs="Arial"/>
        </w:rPr>
        <w:t>A</w:t>
      </w:r>
      <w:r w:rsidRPr="00C7027D">
        <w:rPr>
          <w:rFonts w:asciiTheme="minorHAnsi" w:hAnsiTheme="minorHAnsi" w:cs="Arial"/>
        </w:rPr>
        <w:t xml:space="preserve"> national system </w:t>
      </w:r>
      <w:r w:rsidR="00696FE4">
        <w:rPr>
          <w:rFonts w:asciiTheme="minorHAnsi" w:hAnsiTheme="minorHAnsi" w:cs="Arial"/>
        </w:rPr>
        <w:t xml:space="preserve">in animal health </w:t>
      </w:r>
      <w:r w:rsidRPr="00C7027D">
        <w:rPr>
          <w:rFonts w:asciiTheme="minorHAnsi" w:hAnsiTheme="minorHAnsi" w:cs="Arial"/>
        </w:rPr>
        <w:t xml:space="preserve">will </w:t>
      </w:r>
      <w:r w:rsidR="00EE13EE">
        <w:rPr>
          <w:rFonts w:asciiTheme="minorHAnsi" w:hAnsiTheme="minorHAnsi" w:cs="Arial"/>
        </w:rPr>
        <w:t xml:space="preserve">also be </w:t>
      </w:r>
      <w:r w:rsidRPr="00C7027D">
        <w:rPr>
          <w:rFonts w:asciiTheme="minorHAnsi" w:hAnsiTheme="minorHAnsi" w:cs="Arial"/>
        </w:rPr>
        <w:t>need</w:t>
      </w:r>
      <w:r w:rsidR="00EE13EE">
        <w:rPr>
          <w:rFonts w:asciiTheme="minorHAnsi" w:hAnsiTheme="minorHAnsi" w:cs="Arial"/>
        </w:rPr>
        <w:t xml:space="preserve">ed </w:t>
      </w:r>
      <w:r w:rsidR="001377A6">
        <w:rPr>
          <w:rFonts w:asciiTheme="minorHAnsi" w:hAnsiTheme="minorHAnsi" w:cs="Arial"/>
        </w:rPr>
        <w:t>to</w:t>
      </w:r>
      <w:r w:rsidR="00A51406">
        <w:rPr>
          <w:rFonts w:asciiTheme="minorHAnsi" w:hAnsiTheme="minorHAnsi" w:cs="Arial"/>
        </w:rPr>
        <w:t xml:space="preserve"> </w:t>
      </w:r>
      <w:r w:rsidR="001377A6">
        <w:rPr>
          <w:rFonts w:asciiTheme="minorHAnsi" w:hAnsiTheme="minorHAnsi" w:cs="Arial"/>
        </w:rPr>
        <w:t>collate</w:t>
      </w:r>
      <w:r w:rsidR="00EE13EE">
        <w:rPr>
          <w:rFonts w:asciiTheme="minorHAnsi" w:hAnsiTheme="minorHAnsi" w:cs="Arial"/>
        </w:rPr>
        <w:t xml:space="preserve"> and </w:t>
      </w:r>
      <w:r w:rsidR="001377A6">
        <w:rPr>
          <w:rFonts w:asciiTheme="minorHAnsi" w:hAnsiTheme="minorHAnsi" w:cs="Arial"/>
        </w:rPr>
        <w:t>analyse antimicrobial usage and antimicrobial resistance surveillance data</w:t>
      </w:r>
      <w:r w:rsidRPr="00C7027D">
        <w:rPr>
          <w:rFonts w:asciiTheme="minorHAnsi" w:hAnsiTheme="minorHAnsi" w:cs="Arial"/>
        </w:rPr>
        <w:t>.</w:t>
      </w:r>
    </w:p>
    <w:p w:rsidR="00853C4E" w:rsidRPr="004146B6" w:rsidRDefault="00853C4E" w:rsidP="00445D1A">
      <w:pPr>
        <w:pStyle w:val="Heading3"/>
      </w:pPr>
      <w:r w:rsidRPr="004146B6">
        <w:t>Where to next?</w:t>
      </w:r>
    </w:p>
    <w:p w:rsidR="00853C4E" w:rsidRPr="001D382B" w:rsidRDefault="00853C4E" w:rsidP="00C579B6">
      <w:pPr>
        <w:pStyle w:val="ListParagraph"/>
        <w:numPr>
          <w:ilvl w:val="0"/>
          <w:numId w:val="4"/>
        </w:numPr>
        <w:spacing w:before="120" w:after="120"/>
        <w:contextualSpacing w:val="0"/>
        <w:rPr>
          <w:rFonts w:asciiTheme="minorHAnsi" w:hAnsiTheme="minorHAnsi" w:cs="Arial"/>
        </w:rPr>
      </w:pPr>
      <w:r>
        <w:rPr>
          <w:rFonts w:asciiTheme="minorHAnsi" w:hAnsiTheme="minorHAnsi" w:cs="Arial"/>
        </w:rPr>
        <w:t>B</w:t>
      </w:r>
      <w:r w:rsidRPr="00026E71">
        <w:rPr>
          <w:rFonts w:asciiTheme="minorHAnsi" w:hAnsiTheme="minorHAnsi" w:cs="Arial"/>
        </w:rPr>
        <w:t xml:space="preserve">etween 24 November and 1 December 2017, </w:t>
      </w:r>
      <w:r>
        <w:rPr>
          <w:rFonts w:asciiTheme="minorHAnsi" w:hAnsiTheme="minorHAnsi" w:cs="Arial"/>
        </w:rPr>
        <w:t>Australia will be</w:t>
      </w:r>
      <w:r w:rsidRPr="00026E71">
        <w:rPr>
          <w:rFonts w:asciiTheme="minorHAnsi" w:hAnsiTheme="minorHAnsi" w:cs="Arial"/>
        </w:rPr>
        <w:t xml:space="preserve"> undertaking a self-assessment and external evaluation of its implementation of the core capacities established under the </w:t>
      </w:r>
      <w:r w:rsidRPr="00832D5E">
        <w:rPr>
          <w:rFonts w:asciiTheme="minorHAnsi" w:hAnsiTheme="minorHAnsi" w:cs="Arial"/>
          <w:i/>
        </w:rPr>
        <w:t>International Health Regulations 2005</w:t>
      </w:r>
      <w:r w:rsidRPr="00026E71">
        <w:rPr>
          <w:rFonts w:asciiTheme="minorHAnsi" w:hAnsiTheme="minorHAnsi" w:cs="Arial"/>
        </w:rPr>
        <w:t xml:space="preserve"> (IHRs)</w:t>
      </w:r>
      <w:r w:rsidR="00E12175">
        <w:rPr>
          <w:rFonts w:asciiTheme="minorHAnsi" w:hAnsiTheme="minorHAnsi" w:cs="Arial"/>
        </w:rPr>
        <w:t xml:space="preserve"> and the Joint External Evaluation (JEE) process</w:t>
      </w:r>
      <w:r w:rsidRPr="00026E71">
        <w:rPr>
          <w:rFonts w:asciiTheme="minorHAnsi" w:hAnsiTheme="minorHAnsi" w:cs="Arial"/>
        </w:rPr>
        <w:t xml:space="preserve">. AMR is one of a suite of </w:t>
      </w:r>
      <w:r>
        <w:rPr>
          <w:rFonts w:asciiTheme="minorHAnsi" w:hAnsiTheme="minorHAnsi" w:cs="Arial"/>
        </w:rPr>
        <w:t>19 </w:t>
      </w:r>
      <w:r w:rsidRPr="00026E71">
        <w:rPr>
          <w:rFonts w:asciiTheme="minorHAnsi" w:hAnsiTheme="minorHAnsi" w:cs="Arial"/>
        </w:rPr>
        <w:t>capacities being assessed</w:t>
      </w:r>
      <w:r w:rsidR="00E12175">
        <w:rPr>
          <w:rFonts w:asciiTheme="minorHAnsi" w:hAnsiTheme="minorHAnsi" w:cs="Arial"/>
        </w:rPr>
        <w:t xml:space="preserve">. </w:t>
      </w:r>
      <w:r w:rsidRPr="001D382B">
        <w:rPr>
          <w:rFonts w:asciiTheme="minorHAnsi" w:hAnsiTheme="minorHAnsi" w:cs="Arial"/>
        </w:rPr>
        <w:t>The external evaluation will allow Australia to identify the most urgent needs within its health security system, including for its AMR response.</w:t>
      </w:r>
    </w:p>
    <w:p w:rsidR="00853C4E" w:rsidRDefault="00853C4E" w:rsidP="00C579B6">
      <w:pPr>
        <w:pStyle w:val="ListParagraph"/>
        <w:numPr>
          <w:ilvl w:val="0"/>
          <w:numId w:val="4"/>
        </w:numPr>
        <w:spacing w:before="120" w:after="120"/>
        <w:contextualSpacing w:val="0"/>
        <w:rPr>
          <w:rFonts w:asciiTheme="minorHAnsi" w:hAnsiTheme="minorHAnsi" w:cs="Arial"/>
        </w:rPr>
      </w:pPr>
      <w:r>
        <w:rPr>
          <w:rFonts w:asciiTheme="minorHAnsi" w:hAnsiTheme="minorHAnsi" w:cs="Arial"/>
        </w:rPr>
        <w:t>Our participation in the external assessment will also contribute to Australia’s international engagement effort: countries both within and outside our region will be encouraged to undertake an external assessment, following Australia’s lead, and contribute transparently to the regional and global picture of preparedness to prevent the emergence and spread of AMR.</w:t>
      </w:r>
    </w:p>
    <w:p w:rsidR="007E3597" w:rsidRPr="009D23DE" w:rsidRDefault="007E3597" w:rsidP="00C579B6">
      <w:pPr>
        <w:pStyle w:val="ListParagraph"/>
        <w:numPr>
          <w:ilvl w:val="0"/>
          <w:numId w:val="4"/>
        </w:numPr>
        <w:spacing w:before="120" w:after="120"/>
        <w:contextualSpacing w:val="0"/>
        <w:rPr>
          <w:rFonts w:asciiTheme="minorHAnsi" w:hAnsiTheme="minorHAnsi" w:cs="Arial"/>
        </w:rPr>
      </w:pPr>
      <w:r w:rsidRPr="009D23DE">
        <w:rPr>
          <w:rFonts w:asciiTheme="minorHAnsi" w:hAnsiTheme="minorHAnsi" w:cs="Arial"/>
        </w:rPr>
        <w:t xml:space="preserve">Australia is </w:t>
      </w:r>
      <w:r>
        <w:rPr>
          <w:rFonts w:asciiTheme="minorHAnsi" w:hAnsiTheme="minorHAnsi" w:cs="Arial"/>
        </w:rPr>
        <w:t xml:space="preserve">also </w:t>
      </w:r>
      <w:r w:rsidRPr="009D23DE">
        <w:rPr>
          <w:rFonts w:asciiTheme="minorHAnsi" w:hAnsiTheme="minorHAnsi" w:cs="Arial"/>
        </w:rPr>
        <w:t>working towards being able to contribute AMR surveillance and antimicrobial usage monitoring data to regional and global data collections as part of a WHO data collection and reporting initiative that will allow countries to benchmark their surveillance and monitoring data against leading countries.</w:t>
      </w:r>
    </w:p>
    <w:p w:rsidR="007E3597" w:rsidRPr="009D23DE" w:rsidRDefault="007E3597" w:rsidP="00C579B6">
      <w:pPr>
        <w:pStyle w:val="ListParagraph"/>
        <w:numPr>
          <w:ilvl w:val="0"/>
          <w:numId w:val="4"/>
        </w:numPr>
        <w:spacing w:before="120" w:after="120"/>
        <w:contextualSpacing w:val="0"/>
        <w:rPr>
          <w:rFonts w:asciiTheme="minorHAnsi" w:hAnsiTheme="minorHAnsi" w:cs="Arial"/>
        </w:rPr>
      </w:pPr>
      <w:r w:rsidRPr="009D23DE">
        <w:rPr>
          <w:rFonts w:asciiTheme="minorHAnsi" w:hAnsiTheme="minorHAnsi" w:cs="Arial"/>
        </w:rPr>
        <w:t xml:space="preserve">A priority area for action under the National AMR Strategy is for Australia to participate in international surveillance activities. We are presently considering the feasibility of contributing AMR surveillance data to the WHO Global </w:t>
      </w:r>
      <w:r w:rsidR="007E7E4E">
        <w:rPr>
          <w:rFonts w:asciiTheme="minorHAnsi" w:hAnsiTheme="minorHAnsi" w:cs="Arial"/>
        </w:rPr>
        <w:t>AMR</w:t>
      </w:r>
      <w:r w:rsidRPr="009D23DE">
        <w:rPr>
          <w:rFonts w:asciiTheme="minorHAnsi" w:hAnsiTheme="minorHAnsi" w:cs="Arial"/>
        </w:rPr>
        <w:t xml:space="preserve"> Surveillance System (GLASS), and antimicrobial consumption data to the WHO Western Pacific regional data collection.</w:t>
      </w:r>
    </w:p>
    <w:p w:rsidR="00853C4E" w:rsidRDefault="00853C4E" w:rsidP="00760D9E">
      <w:pPr>
        <w:pStyle w:val="ListParagraph"/>
        <w:numPr>
          <w:ilvl w:val="0"/>
          <w:numId w:val="4"/>
        </w:numPr>
        <w:spacing w:before="120" w:after="120"/>
        <w:contextualSpacing w:val="0"/>
      </w:pPr>
      <w:r w:rsidRPr="001D7808">
        <w:rPr>
          <w:rFonts w:asciiTheme="minorHAnsi" w:hAnsiTheme="minorHAnsi" w:cs="Arial"/>
        </w:rPr>
        <w:t xml:space="preserve">More broadly, Australia will continue its active engagement with the tripartite WHO, OIE and FAO, including in the development of a Monitoring and Evaluation Framework for the GAP, as well as other multi-lateral forums convened by the </w:t>
      </w:r>
      <w:r w:rsidR="009E442E" w:rsidRPr="001D7808">
        <w:rPr>
          <w:rFonts w:asciiTheme="minorHAnsi" w:hAnsiTheme="minorHAnsi" w:cs="Arial"/>
        </w:rPr>
        <w:t>United Nations General Assembly</w:t>
      </w:r>
      <w:r w:rsidRPr="001D7808">
        <w:rPr>
          <w:rFonts w:asciiTheme="minorHAnsi" w:hAnsiTheme="minorHAnsi" w:cs="Arial"/>
        </w:rPr>
        <w:t xml:space="preserve"> Interagency Coordination Group, the OECD, G20, and others to progress global and regional action.</w:t>
      </w:r>
      <w:r>
        <w:rPr>
          <w:b/>
          <w:bCs/>
        </w:rPr>
        <w:br w:type="page"/>
      </w:r>
    </w:p>
    <w:tbl>
      <w:tblPr>
        <w:tblStyle w:val="TableGrid"/>
        <w:tblW w:w="0" w:type="auto"/>
        <w:shd w:val="clear" w:color="auto" w:fill="C4BC96" w:themeFill="background2" w:themeFillShade="BF"/>
        <w:tblLook w:val="00A0" w:firstRow="1" w:lastRow="0" w:firstColumn="1" w:lastColumn="0" w:noHBand="0" w:noVBand="0"/>
        <w:tblCaption w:val="Establish and support clear governance arrangements at the local, jurisdictional, national and international levels to ensure leadership, engagement and accountability for actions to combat AMR."/>
      </w:tblPr>
      <w:tblGrid>
        <w:gridCol w:w="9242"/>
      </w:tblGrid>
      <w:tr w:rsidR="004B457F" w:rsidTr="00853C4E">
        <w:trPr>
          <w:tblHeader/>
        </w:trPr>
        <w:tc>
          <w:tcPr>
            <w:tcW w:w="9242" w:type="dxa"/>
            <w:shd w:val="clear" w:color="auto" w:fill="C4BC96" w:themeFill="background2" w:themeFillShade="BF"/>
          </w:tcPr>
          <w:p w:rsidR="004B457F" w:rsidRPr="008F74B4" w:rsidRDefault="004B457F" w:rsidP="00D41907">
            <w:pPr>
              <w:pStyle w:val="Heading2"/>
              <w:outlineLvl w:val="1"/>
              <w:rPr>
                <w:color w:val="215868" w:themeColor="accent5" w:themeShade="80"/>
              </w:rPr>
            </w:pPr>
            <w:bookmarkStart w:id="14" w:name="_Toc498070421"/>
            <w:r w:rsidRPr="004B457F">
              <w:lastRenderedPageBreak/>
              <w:t>Objective 7: Establish and support clear governance arrangements at the local, jurisdictional, national and international levels to ensure leadership, engagement and accountability for actions to combat AMR.</w:t>
            </w:r>
            <w:bookmarkEnd w:id="14"/>
          </w:p>
        </w:tc>
      </w:tr>
    </w:tbl>
    <w:p w:rsidR="00C02BAA" w:rsidRDefault="00C02BAA" w:rsidP="00C02BAA"/>
    <w:p w:rsidR="0008461B" w:rsidRPr="004146B6" w:rsidRDefault="00211C65" w:rsidP="00445D1A">
      <w:pPr>
        <w:pStyle w:val="Heading3"/>
      </w:pPr>
      <w:r w:rsidRPr="004146B6">
        <w:t>I</w:t>
      </w:r>
      <w:r w:rsidR="0008461B" w:rsidRPr="004146B6">
        <w:t>ntroduction</w:t>
      </w:r>
    </w:p>
    <w:p w:rsidR="00CF3522" w:rsidRDefault="00CF3522" w:rsidP="00C02BAA">
      <w:pPr>
        <w:rPr>
          <w:rFonts w:asciiTheme="minorHAnsi" w:hAnsiTheme="minorHAnsi" w:cs="Arial"/>
        </w:rPr>
      </w:pPr>
      <w:r>
        <w:rPr>
          <w:rFonts w:asciiTheme="minorHAnsi" w:hAnsiTheme="minorHAnsi" w:cs="Arial"/>
        </w:rPr>
        <w:t xml:space="preserve">Implementation of the Strategy requires a multidisciplinary approach </w:t>
      </w:r>
      <w:r w:rsidR="0068460A">
        <w:rPr>
          <w:rFonts w:asciiTheme="minorHAnsi" w:hAnsiTheme="minorHAnsi" w:cs="Arial"/>
        </w:rPr>
        <w:t xml:space="preserve">and involves a wide range of partners. </w:t>
      </w:r>
      <w:r w:rsidR="00296243">
        <w:rPr>
          <w:rFonts w:asciiTheme="minorHAnsi" w:hAnsiTheme="minorHAnsi" w:cs="Arial"/>
        </w:rPr>
        <w:t xml:space="preserve">It brings together stakeholders from across the Australian and state and territory governments, regulators, standard-setting and accreditation bodies, the pharmaceutical industry, food animal producers, agriculture, health and veterinary professionals, researchers, educators, professional bodies and consumers. </w:t>
      </w:r>
      <w:r w:rsidR="0068460A">
        <w:rPr>
          <w:rFonts w:asciiTheme="minorHAnsi" w:hAnsiTheme="minorHAnsi" w:cs="Arial"/>
        </w:rPr>
        <w:t>Strong leadership and good governance is required to ensure a high level of stakeholder cooperation and coordination</w:t>
      </w:r>
      <w:r w:rsidR="00AB395A">
        <w:rPr>
          <w:rFonts w:asciiTheme="minorHAnsi" w:hAnsiTheme="minorHAnsi" w:cs="Arial"/>
        </w:rPr>
        <w:t>,</w:t>
      </w:r>
      <w:r w:rsidR="0068460A">
        <w:rPr>
          <w:rFonts w:asciiTheme="minorHAnsi" w:hAnsiTheme="minorHAnsi" w:cs="Arial"/>
        </w:rPr>
        <w:t xml:space="preserve"> and </w:t>
      </w:r>
      <w:r w:rsidR="00AB395A">
        <w:rPr>
          <w:rFonts w:asciiTheme="minorHAnsi" w:hAnsiTheme="minorHAnsi" w:cs="Arial"/>
        </w:rPr>
        <w:t xml:space="preserve">to </w:t>
      </w:r>
      <w:r w:rsidR="0068460A">
        <w:rPr>
          <w:rFonts w:asciiTheme="minorHAnsi" w:hAnsiTheme="minorHAnsi" w:cs="Arial"/>
        </w:rPr>
        <w:t>facilitate the establishment of the key partnerships necessary to implement the Strategy.</w:t>
      </w:r>
    </w:p>
    <w:p w:rsidR="00211C65" w:rsidRDefault="00211C65" w:rsidP="00C02BAA">
      <w:pPr>
        <w:rPr>
          <w:rFonts w:asciiTheme="minorHAnsi" w:hAnsiTheme="minorHAnsi" w:cs="Arial"/>
        </w:rPr>
      </w:pPr>
    </w:p>
    <w:p w:rsidR="00211C65" w:rsidRDefault="00211C65" w:rsidP="00C02BAA">
      <w:pPr>
        <w:rPr>
          <w:rFonts w:asciiTheme="minorHAnsi" w:hAnsiTheme="minorHAnsi" w:cs="Arial"/>
        </w:rPr>
      </w:pPr>
      <w:r>
        <w:rPr>
          <w:rFonts w:asciiTheme="minorHAnsi" w:hAnsiTheme="minorHAnsi" w:cs="Arial"/>
        </w:rPr>
        <w:t xml:space="preserve">Effective governance involves </w:t>
      </w:r>
      <w:r w:rsidR="00296243">
        <w:rPr>
          <w:rFonts w:asciiTheme="minorHAnsi" w:hAnsiTheme="minorHAnsi" w:cs="Arial"/>
        </w:rPr>
        <w:t xml:space="preserve">establishing processes and arrangements for making, communicating and implementing decisions, and </w:t>
      </w:r>
      <w:r w:rsidR="00CB6729">
        <w:rPr>
          <w:rFonts w:asciiTheme="minorHAnsi" w:hAnsiTheme="minorHAnsi" w:cs="Arial"/>
        </w:rPr>
        <w:t xml:space="preserve">outlining </w:t>
      </w:r>
      <w:r w:rsidR="00296243">
        <w:rPr>
          <w:rFonts w:asciiTheme="minorHAnsi" w:hAnsiTheme="minorHAnsi" w:cs="Arial"/>
        </w:rPr>
        <w:t>the structures that ensure collaboration, accountability, transparency, responsiveness</w:t>
      </w:r>
      <w:r w:rsidR="003D39C4">
        <w:rPr>
          <w:rFonts w:asciiTheme="minorHAnsi" w:hAnsiTheme="minorHAnsi" w:cs="Arial"/>
        </w:rPr>
        <w:t xml:space="preserve"> and</w:t>
      </w:r>
      <w:r w:rsidR="00296243">
        <w:rPr>
          <w:rFonts w:asciiTheme="minorHAnsi" w:hAnsiTheme="minorHAnsi" w:cs="Arial"/>
        </w:rPr>
        <w:t xml:space="preserve"> inclusiveness. </w:t>
      </w:r>
      <w:r w:rsidR="00CB6729">
        <w:rPr>
          <w:rFonts w:asciiTheme="minorHAnsi" w:hAnsiTheme="minorHAnsi" w:cs="Arial"/>
        </w:rPr>
        <w:t>Clear lines of responsibility and accountability at the national, jurisdictional and local levels are crucial to support progress.</w:t>
      </w:r>
    </w:p>
    <w:p w:rsidR="00BA5D97" w:rsidRPr="00CF3522" w:rsidRDefault="00BA5D97" w:rsidP="00BA5D97">
      <w:pPr>
        <w:rPr>
          <w:rFonts w:asciiTheme="minorHAnsi" w:hAnsiTheme="minorHAnsi" w:cs="Arial"/>
        </w:rPr>
      </w:pPr>
    </w:p>
    <w:p w:rsidR="00C02BAA" w:rsidRPr="004146B6" w:rsidRDefault="002B63B6" w:rsidP="00445D1A">
      <w:pPr>
        <w:pStyle w:val="Heading3"/>
      </w:pPr>
      <w:r w:rsidRPr="004146B6">
        <w:t>What have we achieved?</w:t>
      </w:r>
    </w:p>
    <w:p w:rsidR="00375CE8" w:rsidRPr="00AE0291" w:rsidRDefault="00375CE8" w:rsidP="00445D1A">
      <w:pPr>
        <w:pStyle w:val="Heading4"/>
      </w:pPr>
      <w:r w:rsidRPr="00AE0291">
        <w:t>One Health</w:t>
      </w:r>
    </w:p>
    <w:p w:rsidR="00A75B7E" w:rsidRPr="00C579B6" w:rsidRDefault="00D02A4C" w:rsidP="00C579B6">
      <w:pPr>
        <w:pStyle w:val="ListParagraph"/>
        <w:numPr>
          <w:ilvl w:val="0"/>
          <w:numId w:val="4"/>
        </w:numPr>
        <w:spacing w:before="120" w:after="120"/>
        <w:contextualSpacing w:val="0"/>
        <w:rPr>
          <w:rFonts w:asciiTheme="minorHAnsi" w:hAnsiTheme="minorHAnsi" w:cs="Arial"/>
        </w:rPr>
      </w:pPr>
      <w:r w:rsidRPr="00C579B6">
        <w:rPr>
          <w:rFonts w:asciiTheme="minorHAnsi" w:hAnsiTheme="minorHAnsi" w:cs="Arial"/>
        </w:rPr>
        <w:t>In November 2016, the Australian Government released the Implementation Plan to support the Strategy. Extensive consultation was undertaken with Australian Government agencies, state and territory governments, and a wide range of organisations from across the human</w:t>
      </w:r>
      <w:r w:rsidR="00866C6C" w:rsidRPr="00C579B6">
        <w:rPr>
          <w:rFonts w:asciiTheme="minorHAnsi" w:hAnsiTheme="minorHAnsi" w:cs="Arial"/>
        </w:rPr>
        <w:t xml:space="preserve"> </w:t>
      </w:r>
      <w:r w:rsidR="00AB395A" w:rsidRPr="00C579B6">
        <w:rPr>
          <w:rFonts w:asciiTheme="minorHAnsi" w:hAnsiTheme="minorHAnsi" w:cs="Arial"/>
        </w:rPr>
        <w:t>and</w:t>
      </w:r>
      <w:r w:rsidRPr="00C579B6">
        <w:rPr>
          <w:rFonts w:asciiTheme="minorHAnsi" w:hAnsiTheme="minorHAnsi" w:cs="Arial"/>
        </w:rPr>
        <w:t xml:space="preserve"> animal health, food, agriculture, and research sectors to inform the development of the Implementation Plan. This consultation process included a National AMR Stakeholder Forum held in November 2015</w:t>
      </w:r>
      <w:r w:rsidR="00AB395A" w:rsidRPr="00C579B6">
        <w:rPr>
          <w:rFonts w:asciiTheme="minorHAnsi" w:hAnsiTheme="minorHAnsi" w:cs="Arial"/>
        </w:rPr>
        <w:t>.</w:t>
      </w:r>
      <w:r w:rsidRPr="00C579B6">
        <w:rPr>
          <w:rFonts w:asciiTheme="minorHAnsi" w:hAnsiTheme="minorHAnsi" w:cs="Arial"/>
        </w:rPr>
        <w:t xml:space="preserve"> </w:t>
      </w:r>
      <w:r w:rsidR="00AB395A" w:rsidRPr="00C579B6">
        <w:rPr>
          <w:rFonts w:asciiTheme="minorHAnsi" w:hAnsiTheme="minorHAnsi" w:cs="Arial"/>
        </w:rPr>
        <w:t>A</w:t>
      </w:r>
      <w:r w:rsidRPr="00C579B6">
        <w:rPr>
          <w:rFonts w:asciiTheme="minorHAnsi" w:hAnsiTheme="minorHAnsi" w:cs="Arial"/>
        </w:rPr>
        <w:t>pproximately 170 representatives from across the AMR community</w:t>
      </w:r>
      <w:r w:rsidR="00AB395A" w:rsidRPr="00C579B6">
        <w:rPr>
          <w:rFonts w:asciiTheme="minorHAnsi" w:hAnsiTheme="minorHAnsi" w:cs="Arial"/>
        </w:rPr>
        <w:t xml:space="preserve"> attended this Forum</w:t>
      </w:r>
      <w:r w:rsidRPr="00C579B6">
        <w:rPr>
          <w:rFonts w:asciiTheme="minorHAnsi" w:hAnsiTheme="minorHAnsi" w:cs="Arial"/>
        </w:rPr>
        <w:t>.</w:t>
      </w:r>
    </w:p>
    <w:p w:rsidR="00296243" w:rsidRPr="00C579B6" w:rsidRDefault="00296243" w:rsidP="00C579B6">
      <w:pPr>
        <w:pStyle w:val="ListParagraph"/>
        <w:numPr>
          <w:ilvl w:val="0"/>
          <w:numId w:val="4"/>
        </w:numPr>
        <w:spacing w:before="120" w:after="120"/>
        <w:contextualSpacing w:val="0"/>
        <w:rPr>
          <w:rFonts w:asciiTheme="minorHAnsi" w:hAnsiTheme="minorHAnsi" w:cs="Arial"/>
        </w:rPr>
      </w:pPr>
      <w:r w:rsidRPr="00C579B6">
        <w:rPr>
          <w:rFonts w:asciiTheme="minorHAnsi" w:hAnsiTheme="minorHAnsi" w:cs="Arial"/>
        </w:rPr>
        <w:t xml:space="preserve">The </w:t>
      </w:r>
      <w:r w:rsidR="007E7E4E">
        <w:rPr>
          <w:rFonts w:asciiTheme="minorHAnsi" w:hAnsiTheme="minorHAnsi" w:cs="Arial"/>
        </w:rPr>
        <w:t>AMR</w:t>
      </w:r>
      <w:r w:rsidRPr="00C579B6">
        <w:rPr>
          <w:rFonts w:asciiTheme="minorHAnsi" w:hAnsiTheme="minorHAnsi" w:cs="Arial"/>
        </w:rPr>
        <w:t xml:space="preserve"> Prevention and Containment</w:t>
      </w:r>
      <w:r w:rsidR="009E442E">
        <w:rPr>
          <w:rFonts w:asciiTheme="minorHAnsi" w:hAnsiTheme="minorHAnsi" w:cs="Arial"/>
        </w:rPr>
        <w:t xml:space="preserve"> (AMRPC)</w:t>
      </w:r>
      <w:r w:rsidRPr="00C579B6">
        <w:rPr>
          <w:rFonts w:asciiTheme="minorHAnsi" w:hAnsiTheme="minorHAnsi" w:cs="Arial"/>
        </w:rPr>
        <w:t xml:space="preserve"> Steering Group</w:t>
      </w:r>
      <w:r w:rsidR="00192A02">
        <w:rPr>
          <w:rFonts w:asciiTheme="minorHAnsi" w:hAnsiTheme="minorHAnsi" w:cs="Arial"/>
        </w:rPr>
        <w:t>,</w:t>
      </w:r>
      <w:r w:rsidRPr="00C579B6">
        <w:rPr>
          <w:rFonts w:asciiTheme="minorHAnsi" w:hAnsiTheme="minorHAnsi" w:cs="Arial"/>
        </w:rPr>
        <w:t xml:space="preserve"> </w:t>
      </w:r>
      <w:r w:rsidR="00F37934">
        <w:rPr>
          <w:rFonts w:asciiTheme="minorHAnsi" w:hAnsiTheme="minorHAnsi" w:cs="Arial"/>
        </w:rPr>
        <w:t xml:space="preserve">previously </w:t>
      </w:r>
      <w:r w:rsidRPr="00C579B6">
        <w:rPr>
          <w:rFonts w:asciiTheme="minorHAnsi" w:hAnsiTheme="minorHAnsi" w:cs="Arial"/>
        </w:rPr>
        <w:t xml:space="preserve">headed by the Secretaries of the </w:t>
      </w:r>
      <w:r w:rsidR="00567786">
        <w:rPr>
          <w:rFonts w:asciiTheme="minorHAnsi" w:hAnsiTheme="minorHAnsi" w:cs="Arial"/>
        </w:rPr>
        <w:t>d</w:t>
      </w:r>
      <w:r w:rsidRPr="00C579B6">
        <w:rPr>
          <w:rFonts w:asciiTheme="minorHAnsi" w:hAnsiTheme="minorHAnsi" w:cs="Arial"/>
        </w:rPr>
        <w:t>epartment</w:t>
      </w:r>
      <w:r w:rsidR="004527CC" w:rsidRPr="00C579B6">
        <w:rPr>
          <w:rFonts w:asciiTheme="minorHAnsi" w:hAnsiTheme="minorHAnsi" w:cs="Arial"/>
        </w:rPr>
        <w:t>s</w:t>
      </w:r>
      <w:r w:rsidRPr="00C579B6">
        <w:rPr>
          <w:rFonts w:asciiTheme="minorHAnsi" w:hAnsiTheme="minorHAnsi" w:cs="Arial"/>
        </w:rPr>
        <w:t xml:space="preserve"> of Health and Agriculture and Water Resources, with the Australian Chief Medical Officer (CMO) and Chief Veterinary Officer (CVO) ha</w:t>
      </w:r>
      <w:r w:rsidR="00866C6C" w:rsidRPr="00C579B6">
        <w:rPr>
          <w:rFonts w:asciiTheme="minorHAnsi" w:hAnsiTheme="minorHAnsi" w:cs="Arial"/>
        </w:rPr>
        <w:t>s</w:t>
      </w:r>
      <w:r w:rsidRPr="00C579B6">
        <w:rPr>
          <w:rFonts w:asciiTheme="minorHAnsi" w:hAnsiTheme="minorHAnsi" w:cs="Arial"/>
        </w:rPr>
        <w:t xml:space="preserve"> convened to provide leadership on </w:t>
      </w:r>
      <w:r w:rsidR="00CB6729" w:rsidRPr="00C579B6">
        <w:rPr>
          <w:rFonts w:asciiTheme="minorHAnsi" w:hAnsiTheme="minorHAnsi" w:cs="Arial"/>
        </w:rPr>
        <w:t>AMR</w:t>
      </w:r>
      <w:r w:rsidRPr="00C579B6">
        <w:rPr>
          <w:rFonts w:asciiTheme="minorHAnsi" w:hAnsiTheme="minorHAnsi" w:cs="Arial"/>
        </w:rPr>
        <w:t xml:space="preserve"> and oversee the development and implementation of the Strategy.</w:t>
      </w:r>
    </w:p>
    <w:p w:rsidR="00567786" w:rsidRDefault="00FD5373" w:rsidP="00C579B6">
      <w:pPr>
        <w:pStyle w:val="ListParagraph"/>
        <w:numPr>
          <w:ilvl w:val="0"/>
          <w:numId w:val="4"/>
        </w:numPr>
        <w:spacing w:before="120" w:after="120"/>
        <w:contextualSpacing w:val="0"/>
        <w:rPr>
          <w:rFonts w:asciiTheme="minorHAnsi" w:hAnsiTheme="minorHAnsi" w:cs="Arial"/>
        </w:rPr>
      </w:pPr>
      <w:r>
        <w:rPr>
          <w:rFonts w:asciiTheme="minorHAnsi" w:hAnsiTheme="minorHAnsi" w:cs="Arial"/>
        </w:rPr>
        <w:t>The Australian Strategic and Technical Advisory Group on AMR (</w:t>
      </w:r>
      <w:r w:rsidR="00BA5D97" w:rsidRPr="00C579B6">
        <w:rPr>
          <w:rFonts w:asciiTheme="minorHAnsi" w:hAnsiTheme="minorHAnsi" w:cs="Arial"/>
        </w:rPr>
        <w:t>ASTAG</w:t>
      </w:r>
      <w:r>
        <w:rPr>
          <w:rFonts w:asciiTheme="minorHAnsi" w:hAnsiTheme="minorHAnsi" w:cs="Arial"/>
        </w:rPr>
        <w:t>)</w:t>
      </w:r>
      <w:r w:rsidR="00BA5D97" w:rsidRPr="00C579B6">
        <w:rPr>
          <w:rFonts w:asciiTheme="minorHAnsi" w:hAnsiTheme="minorHAnsi" w:cs="Arial"/>
        </w:rPr>
        <w:t xml:space="preserve"> has met twice-yearly since its establishment in November 2014 to provide expert advice to the Steering Group</w:t>
      </w:r>
      <w:r w:rsidR="00296243" w:rsidRPr="00C579B6">
        <w:rPr>
          <w:rFonts w:asciiTheme="minorHAnsi" w:hAnsiTheme="minorHAnsi" w:cs="Arial"/>
        </w:rPr>
        <w:t xml:space="preserve"> on current and emerging issues, research priorities and implementation approaches to support the Strategy</w:t>
      </w:r>
      <w:r w:rsidR="00BA5D97" w:rsidRPr="00C579B6">
        <w:rPr>
          <w:rFonts w:asciiTheme="minorHAnsi" w:hAnsiTheme="minorHAnsi" w:cs="Arial"/>
        </w:rPr>
        <w:t xml:space="preserve">. ASTAG working groups have been established to assist in driving </w:t>
      </w:r>
      <w:r w:rsidR="0068460A" w:rsidRPr="00C579B6">
        <w:rPr>
          <w:rFonts w:asciiTheme="minorHAnsi" w:hAnsiTheme="minorHAnsi" w:cs="Arial"/>
        </w:rPr>
        <w:t>key pieces of work under the Strategy.</w:t>
      </w:r>
    </w:p>
    <w:p w:rsidR="00567786" w:rsidRDefault="00567786">
      <w:pPr>
        <w:rPr>
          <w:rFonts w:asciiTheme="minorHAnsi" w:hAnsiTheme="minorHAnsi" w:cs="Arial"/>
        </w:rPr>
      </w:pPr>
      <w:r>
        <w:rPr>
          <w:rFonts w:asciiTheme="minorHAnsi" w:hAnsiTheme="minorHAnsi" w:cs="Arial"/>
        </w:rPr>
        <w:br w:type="page"/>
      </w:r>
    </w:p>
    <w:p w:rsidR="003D39C4" w:rsidRPr="00C579B6" w:rsidRDefault="003D39C4" w:rsidP="00C579B6">
      <w:pPr>
        <w:pStyle w:val="ListParagraph"/>
        <w:numPr>
          <w:ilvl w:val="0"/>
          <w:numId w:val="4"/>
        </w:numPr>
        <w:spacing w:before="120" w:after="120"/>
        <w:contextualSpacing w:val="0"/>
        <w:rPr>
          <w:rFonts w:asciiTheme="minorHAnsi" w:hAnsiTheme="minorHAnsi" w:cs="Arial"/>
        </w:rPr>
      </w:pPr>
      <w:r w:rsidRPr="00C579B6">
        <w:rPr>
          <w:rFonts w:asciiTheme="minorHAnsi" w:hAnsiTheme="minorHAnsi" w:cs="Arial"/>
        </w:rPr>
        <w:lastRenderedPageBreak/>
        <w:t>An internal review of ASTAG was undertaken in May 2017 to identify any areas where ASTAG involvement could be strengthened or more appropriately focussed to meet future needs, and evaluate ASTAG’s membership to ensure that the required expertise was available to effectively support the implement</w:t>
      </w:r>
      <w:r w:rsidR="00A52A46" w:rsidRPr="00C579B6">
        <w:rPr>
          <w:rFonts w:asciiTheme="minorHAnsi" w:hAnsiTheme="minorHAnsi" w:cs="Arial"/>
        </w:rPr>
        <w:t>ation phase of the Strategy.</w:t>
      </w:r>
    </w:p>
    <w:p w:rsidR="00B9168A" w:rsidRPr="004146B6" w:rsidRDefault="00B9168A" w:rsidP="00445D1A">
      <w:pPr>
        <w:pStyle w:val="Heading3"/>
      </w:pPr>
      <w:r w:rsidRPr="004146B6">
        <w:t>What are our challenges?</w:t>
      </w:r>
    </w:p>
    <w:p w:rsidR="00565BB6" w:rsidRPr="00C579B6" w:rsidRDefault="00FD5373" w:rsidP="00C579B6">
      <w:pPr>
        <w:pStyle w:val="ListParagraph"/>
        <w:numPr>
          <w:ilvl w:val="0"/>
          <w:numId w:val="4"/>
        </w:numPr>
        <w:spacing w:before="120" w:after="120"/>
        <w:contextualSpacing w:val="0"/>
        <w:rPr>
          <w:rFonts w:asciiTheme="minorHAnsi" w:hAnsiTheme="minorHAnsi" w:cs="Arial"/>
        </w:rPr>
      </w:pPr>
      <w:r>
        <w:rPr>
          <w:rFonts w:asciiTheme="minorHAnsi" w:hAnsiTheme="minorHAnsi" w:cs="Arial"/>
        </w:rPr>
        <w:t>Challenges include i</w:t>
      </w:r>
      <w:r w:rsidR="00914B0A" w:rsidRPr="00C579B6">
        <w:rPr>
          <w:rFonts w:asciiTheme="minorHAnsi" w:hAnsiTheme="minorHAnsi" w:cs="Arial"/>
        </w:rPr>
        <w:t xml:space="preserve">mplementing governance arrangements </w:t>
      </w:r>
      <w:r w:rsidR="00B76DD4" w:rsidRPr="00C579B6">
        <w:rPr>
          <w:rFonts w:asciiTheme="minorHAnsi" w:hAnsiTheme="minorHAnsi" w:cs="Arial"/>
        </w:rPr>
        <w:t>that</w:t>
      </w:r>
      <w:r w:rsidR="00914B0A" w:rsidRPr="00C579B6">
        <w:rPr>
          <w:rFonts w:asciiTheme="minorHAnsi" w:hAnsiTheme="minorHAnsi" w:cs="Arial"/>
        </w:rPr>
        <w:t xml:space="preserve"> </w:t>
      </w:r>
      <w:r w:rsidR="00B76DD4" w:rsidRPr="00C579B6">
        <w:rPr>
          <w:rFonts w:asciiTheme="minorHAnsi" w:hAnsiTheme="minorHAnsi" w:cs="Arial"/>
        </w:rPr>
        <w:t xml:space="preserve">are not cumbersome, but </w:t>
      </w:r>
      <w:r w:rsidR="000A3332" w:rsidRPr="00C579B6">
        <w:rPr>
          <w:rFonts w:asciiTheme="minorHAnsi" w:hAnsiTheme="minorHAnsi" w:cs="Arial"/>
        </w:rPr>
        <w:t>harness</w:t>
      </w:r>
      <w:r w:rsidR="00914B0A" w:rsidRPr="00C579B6">
        <w:rPr>
          <w:rFonts w:asciiTheme="minorHAnsi" w:hAnsiTheme="minorHAnsi" w:cs="Arial"/>
        </w:rPr>
        <w:t xml:space="preserve"> the breadth and depth of required expertise across sectors</w:t>
      </w:r>
      <w:r w:rsidR="000A3332" w:rsidRPr="00C579B6">
        <w:rPr>
          <w:rFonts w:asciiTheme="minorHAnsi" w:hAnsiTheme="minorHAnsi" w:cs="Arial"/>
        </w:rPr>
        <w:t>,</w:t>
      </w:r>
      <w:r w:rsidR="00914B0A" w:rsidRPr="00C579B6">
        <w:rPr>
          <w:rFonts w:asciiTheme="minorHAnsi" w:hAnsiTheme="minorHAnsi" w:cs="Arial"/>
        </w:rPr>
        <w:t xml:space="preserve"> as well as </w:t>
      </w:r>
      <w:r w:rsidR="000A3332" w:rsidRPr="00C579B6">
        <w:rPr>
          <w:rFonts w:asciiTheme="minorHAnsi" w:hAnsiTheme="minorHAnsi" w:cs="Arial"/>
        </w:rPr>
        <w:t xml:space="preserve">create linkages with key groups and </w:t>
      </w:r>
      <w:r w:rsidR="00914B0A" w:rsidRPr="00C579B6">
        <w:rPr>
          <w:rFonts w:asciiTheme="minorHAnsi" w:hAnsiTheme="minorHAnsi" w:cs="Arial"/>
        </w:rPr>
        <w:t xml:space="preserve">organisations. </w:t>
      </w:r>
      <w:r w:rsidR="00565BB6" w:rsidRPr="00C579B6">
        <w:rPr>
          <w:rFonts w:asciiTheme="minorHAnsi" w:hAnsiTheme="minorHAnsi" w:cs="Arial"/>
        </w:rPr>
        <w:t xml:space="preserve">As priorities change, governance arrangements </w:t>
      </w:r>
      <w:r w:rsidR="00B76DD4" w:rsidRPr="00C579B6">
        <w:rPr>
          <w:rFonts w:asciiTheme="minorHAnsi" w:hAnsiTheme="minorHAnsi" w:cs="Arial"/>
        </w:rPr>
        <w:t>need revision</w:t>
      </w:r>
      <w:r w:rsidR="00565BB6" w:rsidRPr="00C579B6">
        <w:rPr>
          <w:rFonts w:asciiTheme="minorHAnsi" w:hAnsiTheme="minorHAnsi" w:cs="Arial"/>
        </w:rPr>
        <w:t xml:space="preserve"> to </w:t>
      </w:r>
      <w:r w:rsidR="00AB3C76" w:rsidRPr="00C579B6">
        <w:rPr>
          <w:rFonts w:asciiTheme="minorHAnsi" w:hAnsiTheme="minorHAnsi" w:cs="Arial"/>
        </w:rPr>
        <w:t xml:space="preserve">ensure </w:t>
      </w:r>
      <w:r w:rsidR="00EF654C" w:rsidRPr="00C579B6">
        <w:rPr>
          <w:rFonts w:asciiTheme="minorHAnsi" w:hAnsiTheme="minorHAnsi" w:cs="Arial"/>
        </w:rPr>
        <w:t>effec</w:t>
      </w:r>
      <w:r w:rsidR="005B0778" w:rsidRPr="00C579B6">
        <w:rPr>
          <w:rFonts w:asciiTheme="minorHAnsi" w:hAnsiTheme="minorHAnsi" w:cs="Arial"/>
        </w:rPr>
        <w:t>tive</w:t>
      </w:r>
      <w:r w:rsidR="00B76DD4" w:rsidRPr="00C579B6">
        <w:rPr>
          <w:rFonts w:asciiTheme="minorHAnsi" w:hAnsiTheme="minorHAnsi" w:cs="Arial"/>
        </w:rPr>
        <w:t>ness</w:t>
      </w:r>
      <w:r w:rsidR="003A1B6B" w:rsidRPr="00C579B6">
        <w:rPr>
          <w:rFonts w:asciiTheme="minorHAnsi" w:hAnsiTheme="minorHAnsi" w:cs="Arial"/>
        </w:rPr>
        <w:t xml:space="preserve"> in driving change</w:t>
      </w:r>
      <w:r w:rsidR="005B0778" w:rsidRPr="00C579B6">
        <w:rPr>
          <w:rFonts w:asciiTheme="minorHAnsi" w:hAnsiTheme="minorHAnsi" w:cs="Arial"/>
        </w:rPr>
        <w:t xml:space="preserve"> and support</w:t>
      </w:r>
      <w:r w:rsidR="003A1B6B" w:rsidRPr="00C579B6">
        <w:rPr>
          <w:rFonts w:asciiTheme="minorHAnsi" w:hAnsiTheme="minorHAnsi" w:cs="Arial"/>
        </w:rPr>
        <w:t>ing</w:t>
      </w:r>
      <w:r w:rsidR="00EF654C" w:rsidRPr="00C579B6">
        <w:rPr>
          <w:rFonts w:asciiTheme="minorHAnsi" w:hAnsiTheme="minorHAnsi" w:cs="Arial"/>
        </w:rPr>
        <w:t xml:space="preserve"> the implementation of </w:t>
      </w:r>
      <w:r w:rsidR="003A1B6B" w:rsidRPr="00C579B6">
        <w:rPr>
          <w:rFonts w:asciiTheme="minorHAnsi" w:hAnsiTheme="minorHAnsi" w:cs="Arial"/>
        </w:rPr>
        <w:t xml:space="preserve">priority AMR </w:t>
      </w:r>
      <w:r w:rsidR="00EF654C" w:rsidRPr="00C579B6">
        <w:rPr>
          <w:rFonts w:asciiTheme="minorHAnsi" w:hAnsiTheme="minorHAnsi" w:cs="Arial"/>
        </w:rPr>
        <w:t>activities.</w:t>
      </w:r>
    </w:p>
    <w:p w:rsidR="000D6279" w:rsidRPr="00C579B6" w:rsidRDefault="007979D9" w:rsidP="00C579B6">
      <w:pPr>
        <w:pStyle w:val="ListParagraph"/>
        <w:numPr>
          <w:ilvl w:val="0"/>
          <w:numId w:val="4"/>
        </w:numPr>
        <w:spacing w:before="120" w:after="120"/>
        <w:contextualSpacing w:val="0"/>
        <w:rPr>
          <w:rFonts w:asciiTheme="minorHAnsi" w:hAnsiTheme="minorHAnsi" w:cs="Arial"/>
        </w:rPr>
      </w:pPr>
      <w:r w:rsidRPr="00C579B6">
        <w:rPr>
          <w:rFonts w:asciiTheme="minorHAnsi" w:hAnsiTheme="minorHAnsi" w:cs="Arial"/>
        </w:rPr>
        <w:t xml:space="preserve">We need to better understand where the current regulatory arrangements might be improved. </w:t>
      </w:r>
      <w:r w:rsidR="000D6279" w:rsidRPr="00C579B6">
        <w:rPr>
          <w:rFonts w:asciiTheme="minorHAnsi" w:hAnsiTheme="minorHAnsi" w:cs="Arial"/>
        </w:rPr>
        <w:t>The effectiveness and appropriateness of regulation relevant to the emergence and response to AMR has not been systematically evaluated. There is a need to map the current regulatory framework against the antibiotic supply chain and AMR trends in human and animal health to identify areas where regulation could be applied or streamlined to support efforts to reduce AMR.</w:t>
      </w:r>
    </w:p>
    <w:p w:rsidR="00C02BAA" w:rsidRPr="004146B6" w:rsidRDefault="00E43536" w:rsidP="00445D1A">
      <w:pPr>
        <w:pStyle w:val="Heading3"/>
      </w:pPr>
      <w:r w:rsidRPr="004146B6">
        <w:t>Where to next?</w:t>
      </w:r>
    </w:p>
    <w:p w:rsidR="00BE3EB2" w:rsidRPr="00C579B6" w:rsidRDefault="008E7544" w:rsidP="00C579B6">
      <w:pPr>
        <w:pStyle w:val="ListParagraph"/>
        <w:numPr>
          <w:ilvl w:val="0"/>
          <w:numId w:val="4"/>
        </w:numPr>
        <w:spacing w:before="120" w:after="120"/>
        <w:contextualSpacing w:val="0"/>
        <w:rPr>
          <w:rFonts w:asciiTheme="minorHAnsi" w:hAnsiTheme="minorHAnsi" w:cs="Arial"/>
        </w:rPr>
      </w:pPr>
      <w:r w:rsidRPr="00C579B6">
        <w:rPr>
          <w:rFonts w:asciiTheme="minorHAnsi" w:hAnsiTheme="minorHAnsi" w:cs="Arial"/>
        </w:rPr>
        <w:t>The AMRPC Steering G</w:t>
      </w:r>
      <w:r w:rsidR="00BA5D97" w:rsidRPr="00C579B6">
        <w:rPr>
          <w:rFonts w:asciiTheme="minorHAnsi" w:hAnsiTheme="minorHAnsi" w:cs="Arial"/>
        </w:rPr>
        <w:t>roup will continue to oversee and drive specific actions under the Strategy, with the highly valued input of ASTAG.</w:t>
      </w:r>
      <w:r w:rsidR="007B0EC9" w:rsidRPr="00C579B6">
        <w:rPr>
          <w:rFonts w:asciiTheme="minorHAnsi" w:hAnsiTheme="minorHAnsi" w:cs="Arial"/>
        </w:rPr>
        <w:t xml:space="preserve"> From October 2017, t</w:t>
      </w:r>
      <w:r w:rsidR="003A1B6B" w:rsidRPr="00C579B6">
        <w:rPr>
          <w:rFonts w:asciiTheme="minorHAnsi" w:hAnsiTheme="minorHAnsi" w:cs="Arial"/>
        </w:rPr>
        <w:t xml:space="preserve">he Steering Group will be jointly chaired by the </w:t>
      </w:r>
      <w:r w:rsidR="004F0608" w:rsidRPr="00C579B6">
        <w:rPr>
          <w:rFonts w:asciiTheme="minorHAnsi" w:hAnsiTheme="minorHAnsi" w:cs="Arial"/>
        </w:rPr>
        <w:t xml:space="preserve">Australian </w:t>
      </w:r>
      <w:r w:rsidR="003A1B6B" w:rsidRPr="00C579B6">
        <w:rPr>
          <w:rFonts w:asciiTheme="minorHAnsi" w:hAnsiTheme="minorHAnsi" w:cs="Arial"/>
        </w:rPr>
        <w:t xml:space="preserve">Chief Medical </w:t>
      </w:r>
      <w:r w:rsidR="004F0608" w:rsidRPr="00C579B6">
        <w:rPr>
          <w:rFonts w:asciiTheme="minorHAnsi" w:hAnsiTheme="minorHAnsi" w:cs="Arial"/>
        </w:rPr>
        <w:t>O</w:t>
      </w:r>
      <w:r w:rsidR="003A1B6B" w:rsidRPr="00C579B6">
        <w:rPr>
          <w:rFonts w:asciiTheme="minorHAnsi" w:hAnsiTheme="minorHAnsi" w:cs="Arial"/>
        </w:rPr>
        <w:t>fficer and Chief Veterinary Officer with regular consultation with the Secretar</w:t>
      </w:r>
      <w:r w:rsidR="004F0608" w:rsidRPr="00C579B6">
        <w:rPr>
          <w:rFonts w:asciiTheme="minorHAnsi" w:hAnsiTheme="minorHAnsi" w:cs="Arial"/>
        </w:rPr>
        <w:t>ies</w:t>
      </w:r>
      <w:r w:rsidR="003A1B6B" w:rsidRPr="00C579B6">
        <w:rPr>
          <w:rFonts w:asciiTheme="minorHAnsi" w:hAnsiTheme="minorHAnsi" w:cs="Arial"/>
        </w:rPr>
        <w:t xml:space="preserve"> of Health and Agriculture and Water Resources. </w:t>
      </w:r>
      <w:r w:rsidR="007B0EC9" w:rsidRPr="00C579B6">
        <w:rPr>
          <w:rFonts w:asciiTheme="minorHAnsi" w:hAnsiTheme="minorHAnsi" w:cs="Arial"/>
        </w:rPr>
        <w:t xml:space="preserve">This arrangement is designed to support the </w:t>
      </w:r>
      <w:r w:rsidR="008F7D7B" w:rsidRPr="00C579B6">
        <w:rPr>
          <w:rFonts w:asciiTheme="minorHAnsi" w:hAnsiTheme="minorHAnsi" w:cs="Arial"/>
        </w:rPr>
        <w:t xml:space="preserve">more intensive </w:t>
      </w:r>
      <w:r w:rsidR="004F0608" w:rsidRPr="00C579B6">
        <w:rPr>
          <w:rFonts w:asciiTheme="minorHAnsi" w:hAnsiTheme="minorHAnsi" w:cs="Arial"/>
        </w:rPr>
        <w:t xml:space="preserve">nature of the Strategy’s </w:t>
      </w:r>
      <w:r w:rsidR="007B0EC9" w:rsidRPr="00C579B6">
        <w:rPr>
          <w:rFonts w:asciiTheme="minorHAnsi" w:hAnsiTheme="minorHAnsi" w:cs="Arial"/>
        </w:rPr>
        <w:t>implementation phase.</w:t>
      </w:r>
    </w:p>
    <w:p w:rsidR="00566923" w:rsidRPr="00C579B6" w:rsidRDefault="00566923" w:rsidP="00C579B6">
      <w:pPr>
        <w:pStyle w:val="ListParagraph"/>
        <w:numPr>
          <w:ilvl w:val="0"/>
          <w:numId w:val="4"/>
        </w:numPr>
        <w:spacing w:before="120" w:after="120"/>
        <w:contextualSpacing w:val="0"/>
        <w:rPr>
          <w:rFonts w:asciiTheme="minorHAnsi" w:hAnsiTheme="minorHAnsi" w:cs="Arial"/>
        </w:rPr>
      </w:pPr>
      <w:r w:rsidRPr="00C579B6">
        <w:rPr>
          <w:rFonts w:asciiTheme="minorHAnsi" w:hAnsiTheme="minorHAnsi" w:cs="Arial"/>
        </w:rPr>
        <w:t xml:space="preserve">ASTAG working groups will be established to </w:t>
      </w:r>
      <w:r w:rsidR="00D02A4C" w:rsidRPr="00C579B6">
        <w:rPr>
          <w:rFonts w:asciiTheme="minorHAnsi" w:hAnsiTheme="minorHAnsi" w:cs="Arial"/>
        </w:rPr>
        <w:t xml:space="preserve">drive </w:t>
      </w:r>
      <w:r w:rsidR="008F7D7B" w:rsidRPr="00C579B6">
        <w:rPr>
          <w:rFonts w:asciiTheme="minorHAnsi" w:hAnsiTheme="minorHAnsi" w:cs="Arial"/>
        </w:rPr>
        <w:t>specific</w:t>
      </w:r>
      <w:r w:rsidR="00D02A4C" w:rsidRPr="00C579B6">
        <w:rPr>
          <w:rFonts w:asciiTheme="minorHAnsi" w:hAnsiTheme="minorHAnsi" w:cs="Arial"/>
        </w:rPr>
        <w:t xml:space="preserve"> action in areas of </w:t>
      </w:r>
      <w:r w:rsidR="000A3332" w:rsidRPr="00C579B6">
        <w:rPr>
          <w:rFonts w:asciiTheme="minorHAnsi" w:hAnsiTheme="minorHAnsi" w:cs="Arial"/>
        </w:rPr>
        <w:t xml:space="preserve">highest </w:t>
      </w:r>
      <w:r w:rsidR="00D02A4C" w:rsidRPr="00C579B6">
        <w:rPr>
          <w:rFonts w:asciiTheme="minorHAnsi" w:hAnsiTheme="minorHAnsi" w:cs="Arial"/>
        </w:rPr>
        <w:t xml:space="preserve">priority, including surveillance and regulation. Ad hoc working groups will also be established to action </w:t>
      </w:r>
      <w:r w:rsidR="000A3332" w:rsidRPr="00C579B6">
        <w:rPr>
          <w:rFonts w:asciiTheme="minorHAnsi" w:hAnsiTheme="minorHAnsi" w:cs="Arial"/>
        </w:rPr>
        <w:t xml:space="preserve">other </w:t>
      </w:r>
      <w:r w:rsidR="00D02A4C" w:rsidRPr="00C579B6">
        <w:rPr>
          <w:rFonts w:asciiTheme="minorHAnsi" w:hAnsiTheme="minorHAnsi" w:cs="Arial"/>
        </w:rPr>
        <w:t>specific projects as required.</w:t>
      </w:r>
    </w:p>
    <w:p w:rsidR="00566923" w:rsidRDefault="008F7D7B" w:rsidP="00C579B6">
      <w:pPr>
        <w:pStyle w:val="ListParagraph"/>
        <w:numPr>
          <w:ilvl w:val="0"/>
          <w:numId w:val="4"/>
        </w:numPr>
        <w:spacing w:before="120" w:after="120"/>
        <w:contextualSpacing w:val="0"/>
        <w:rPr>
          <w:rFonts w:asciiTheme="minorHAnsi" w:hAnsiTheme="minorHAnsi" w:cs="Arial"/>
        </w:rPr>
      </w:pPr>
      <w:r>
        <w:rPr>
          <w:rFonts w:asciiTheme="minorHAnsi" w:hAnsiTheme="minorHAnsi" w:cs="Arial"/>
        </w:rPr>
        <w:t xml:space="preserve">A review will be undertaken of the </w:t>
      </w:r>
      <w:r w:rsidR="007E3597" w:rsidRPr="007E3597">
        <w:rPr>
          <w:rFonts w:asciiTheme="minorHAnsi" w:hAnsiTheme="minorHAnsi" w:cs="Arial"/>
        </w:rPr>
        <w:t xml:space="preserve">current regulation (legislated and other) in Australia across the human </w:t>
      </w:r>
      <w:r w:rsidR="002752FB">
        <w:rPr>
          <w:rFonts w:asciiTheme="minorHAnsi" w:hAnsiTheme="minorHAnsi" w:cs="Arial"/>
        </w:rPr>
        <w:t>and</w:t>
      </w:r>
      <w:r w:rsidR="007E3597" w:rsidRPr="007E3597">
        <w:rPr>
          <w:rFonts w:asciiTheme="minorHAnsi" w:hAnsiTheme="minorHAnsi" w:cs="Arial"/>
        </w:rPr>
        <w:t xml:space="preserve"> animal health</w:t>
      </w:r>
      <w:r w:rsidR="002752FB">
        <w:rPr>
          <w:rFonts w:asciiTheme="minorHAnsi" w:hAnsiTheme="minorHAnsi" w:cs="Arial"/>
        </w:rPr>
        <w:t>,</w:t>
      </w:r>
      <w:r w:rsidR="007E3597" w:rsidRPr="007E3597">
        <w:rPr>
          <w:rFonts w:asciiTheme="minorHAnsi" w:hAnsiTheme="minorHAnsi" w:cs="Arial"/>
        </w:rPr>
        <w:t xml:space="preserve"> agricultur</w:t>
      </w:r>
      <w:r w:rsidR="002752FB">
        <w:rPr>
          <w:rFonts w:asciiTheme="minorHAnsi" w:hAnsiTheme="minorHAnsi" w:cs="Arial"/>
        </w:rPr>
        <w:t>e</w:t>
      </w:r>
      <w:r w:rsidR="007E3597" w:rsidRPr="007E3597">
        <w:rPr>
          <w:rFonts w:asciiTheme="minorHAnsi" w:hAnsiTheme="minorHAnsi" w:cs="Arial"/>
        </w:rPr>
        <w:t xml:space="preserve"> and food</w:t>
      </w:r>
      <w:r w:rsidR="001645A4">
        <w:rPr>
          <w:rFonts w:asciiTheme="minorHAnsi" w:hAnsiTheme="minorHAnsi" w:cs="Arial"/>
        </w:rPr>
        <w:t xml:space="preserve"> sectors,</w:t>
      </w:r>
      <w:r w:rsidR="000D6279">
        <w:rPr>
          <w:rFonts w:asciiTheme="minorHAnsi" w:hAnsiTheme="minorHAnsi" w:cs="Arial"/>
        </w:rPr>
        <w:t xml:space="preserve"> relevant to AMR and the antibiotic supply chain</w:t>
      </w:r>
      <w:r w:rsidR="000024FA">
        <w:rPr>
          <w:rFonts w:asciiTheme="minorHAnsi" w:hAnsiTheme="minorHAnsi" w:cs="Arial"/>
        </w:rPr>
        <w:t>. The aim of the review is</w:t>
      </w:r>
      <w:r w:rsidR="007E3597" w:rsidRPr="007E3597">
        <w:rPr>
          <w:rFonts w:asciiTheme="minorHAnsi" w:hAnsiTheme="minorHAnsi" w:cs="Arial"/>
        </w:rPr>
        <w:t xml:space="preserve"> to identify gaps, overlaps, inconsistencies, and inefficiencies in the current regulatory arrangements.</w:t>
      </w:r>
    </w:p>
    <w:p w:rsidR="00B9168A" w:rsidRPr="00CF3522" w:rsidRDefault="00B9168A">
      <w:pPr>
        <w:rPr>
          <w:rFonts w:asciiTheme="minorHAnsi" w:hAnsiTheme="minorHAnsi" w:cs="Arial"/>
          <w:b/>
          <w:bCs/>
          <w:kern w:val="28"/>
          <w:sz w:val="28"/>
          <w:szCs w:val="32"/>
        </w:rPr>
      </w:pPr>
      <w:r w:rsidRPr="00CF3522">
        <w:rPr>
          <w:rFonts w:asciiTheme="minorHAnsi" w:hAnsiTheme="minorHAnsi"/>
        </w:rPr>
        <w:br w:type="page"/>
      </w:r>
    </w:p>
    <w:p w:rsidR="00187DB4" w:rsidRPr="00D41907" w:rsidRDefault="00FF63EC" w:rsidP="00D41907">
      <w:pPr>
        <w:pStyle w:val="Heading1"/>
      </w:pPr>
      <w:bookmarkStart w:id="15" w:name="_Toc498070422"/>
      <w:r w:rsidRPr="00D41907">
        <w:lastRenderedPageBreak/>
        <w:t>Next Steps</w:t>
      </w:r>
      <w:bookmarkEnd w:id="15"/>
    </w:p>
    <w:p w:rsidR="006D1530" w:rsidRPr="00C5161A" w:rsidRDefault="006D1530" w:rsidP="00AA632F">
      <w:pPr>
        <w:rPr>
          <w:rFonts w:asciiTheme="minorHAnsi" w:hAnsiTheme="minorHAnsi"/>
        </w:rPr>
      </w:pPr>
      <w:r>
        <w:rPr>
          <w:rFonts w:asciiTheme="minorHAnsi" w:hAnsiTheme="minorHAnsi"/>
        </w:rPr>
        <w:t>As our surveillance systems</w:t>
      </w:r>
      <w:r w:rsidR="00047F69">
        <w:rPr>
          <w:rFonts w:asciiTheme="minorHAnsi" w:hAnsiTheme="minorHAnsi"/>
        </w:rPr>
        <w:t xml:space="preserve"> develop and</w:t>
      </w:r>
      <w:r>
        <w:rPr>
          <w:rFonts w:asciiTheme="minorHAnsi" w:hAnsiTheme="minorHAnsi"/>
        </w:rPr>
        <w:t xml:space="preserve"> mature, the data we receive will help</w:t>
      </w:r>
      <w:r w:rsidR="00047F69">
        <w:rPr>
          <w:rFonts w:asciiTheme="minorHAnsi" w:hAnsiTheme="minorHAnsi"/>
        </w:rPr>
        <w:t xml:space="preserve"> better</w:t>
      </w:r>
      <w:r w:rsidR="002A132E">
        <w:rPr>
          <w:rFonts w:asciiTheme="minorHAnsi" w:hAnsiTheme="minorHAnsi"/>
        </w:rPr>
        <w:t xml:space="preserve"> identify areas of concern and </w:t>
      </w:r>
      <w:r>
        <w:rPr>
          <w:rFonts w:asciiTheme="minorHAnsi" w:hAnsiTheme="minorHAnsi"/>
        </w:rPr>
        <w:t>w</w:t>
      </w:r>
      <w:r w:rsidR="00047F69">
        <w:rPr>
          <w:rFonts w:asciiTheme="minorHAnsi" w:hAnsiTheme="minorHAnsi"/>
        </w:rPr>
        <w:t>here actions need to be focussed</w:t>
      </w:r>
      <w:r w:rsidR="002A132E">
        <w:rPr>
          <w:rFonts w:asciiTheme="minorHAnsi" w:hAnsiTheme="minorHAnsi"/>
        </w:rPr>
        <w:t>, and guide the development of future targets and indicators</w:t>
      </w:r>
      <w:r w:rsidR="00047F69">
        <w:rPr>
          <w:rFonts w:asciiTheme="minorHAnsi" w:hAnsiTheme="minorHAnsi"/>
        </w:rPr>
        <w:t xml:space="preserve">. </w:t>
      </w:r>
      <w:r w:rsidR="00257BAB">
        <w:rPr>
          <w:rFonts w:asciiTheme="minorHAnsi" w:hAnsiTheme="minorHAnsi"/>
        </w:rPr>
        <w:t>Based on</w:t>
      </w:r>
      <w:r w:rsidR="00764C4C">
        <w:rPr>
          <w:rFonts w:asciiTheme="minorHAnsi" w:hAnsiTheme="minorHAnsi"/>
        </w:rPr>
        <w:t xml:space="preserve"> surveillance data</w:t>
      </w:r>
      <w:r w:rsidR="00047F69">
        <w:rPr>
          <w:rFonts w:asciiTheme="minorHAnsi" w:hAnsiTheme="minorHAnsi"/>
        </w:rPr>
        <w:t xml:space="preserve"> to date</w:t>
      </w:r>
      <w:r w:rsidR="00764C4C">
        <w:rPr>
          <w:rFonts w:asciiTheme="minorHAnsi" w:hAnsiTheme="minorHAnsi"/>
        </w:rPr>
        <w:t xml:space="preserve">, including </w:t>
      </w:r>
      <w:r w:rsidR="00764C4C">
        <w:rPr>
          <w:rFonts w:asciiTheme="minorHAnsi" w:hAnsiTheme="minorHAnsi" w:cs="Arial"/>
        </w:rPr>
        <w:t>AURA </w:t>
      </w:r>
      <w:r w:rsidR="004135A5">
        <w:rPr>
          <w:rFonts w:asciiTheme="minorHAnsi" w:hAnsiTheme="minorHAnsi" w:cs="Arial"/>
        </w:rPr>
        <w:t>2017</w:t>
      </w:r>
      <w:r>
        <w:rPr>
          <w:rFonts w:asciiTheme="minorHAnsi" w:hAnsiTheme="minorHAnsi" w:cs="Arial"/>
          <w:i/>
        </w:rPr>
        <w:t xml:space="preserve">, </w:t>
      </w:r>
      <w:r w:rsidRPr="007C571F">
        <w:rPr>
          <w:rFonts w:asciiTheme="minorHAnsi" w:hAnsiTheme="minorHAnsi" w:cs="Arial"/>
        </w:rPr>
        <w:t>o</w:t>
      </w:r>
      <w:r w:rsidRPr="007C571F">
        <w:rPr>
          <w:rFonts w:asciiTheme="minorHAnsi" w:hAnsiTheme="minorHAnsi"/>
        </w:rPr>
        <w:t>ur</w:t>
      </w:r>
      <w:r>
        <w:rPr>
          <w:rFonts w:asciiTheme="minorHAnsi" w:hAnsiTheme="minorHAnsi"/>
        </w:rPr>
        <w:t xml:space="preserve"> effor</w:t>
      </w:r>
      <w:r w:rsidR="004135A5">
        <w:rPr>
          <w:rFonts w:asciiTheme="minorHAnsi" w:hAnsiTheme="minorHAnsi"/>
        </w:rPr>
        <w:t xml:space="preserve">ts over the </w:t>
      </w:r>
      <w:r w:rsidR="00047F69">
        <w:rPr>
          <w:rFonts w:asciiTheme="minorHAnsi" w:hAnsiTheme="minorHAnsi"/>
        </w:rPr>
        <w:t>next couple of</w:t>
      </w:r>
      <w:r w:rsidR="00F762D4">
        <w:rPr>
          <w:rFonts w:asciiTheme="minorHAnsi" w:hAnsiTheme="minorHAnsi"/>
        </w:rPr>
        <w:t xml:space="preserve"> years will </w:t>
      </w:r>
      <w:r w:rsidR="00764C4C">
        <w:rPr>
          <w:rFonts w:asciiTheme="minorHAnsi" w:hAnsiTheme="minorHAnsi"/>
        </w:rPr>
        <w:t xml:space="preserve">include a strong focus on </w:t>
      </w:r>
      <w:r w:rsidR="00AA632F">
        <w:rPr>
          <w:rFonts w:asciiTheme="minorHAnsi" w:hAnsiTheme="minorHAnsi"/>
        </w:rPr>
        <w:t>driving behavioural changes</w:t>
      </w:r>
      <w:r w:rsidR="004135A5">
        <w:rPr>
          <w:rFonts w:asciiTheme="minorHAnsi" w:hAnsiTheme="minorHAnsi"/>
        </w:rPr>
        <w:t xml:space="preserve"> in</w:t>
      </w:r>
      <w:r w:rsidR="00833917">
        <w:rPr>
          <w:rFonts w:asciiTheme="minorHAnsi" w:hAnsiTheme="minorHAnsi"/>
        </w:rPr>
        <w:t xml:space="preserve"> both </w:t>
      </w:r>
      <w:r w:rsidR="00AB3C76">
        <w:rPr>
          <w:rFonts w:asciiTheme="minorHAnsi" w:hAnsiTheme="minorHAnsi"/>
        </w:rPr>
        <w:t xml:space="preserve">health </w:t>
      </w:r>
      <w:r w:rsidR="00047F69">
        <w:rPr>
          <w:rFonts w:asciiTheme="minorHAnsi" w:hAnsiTheme="minorHAnsi"/>
        </w:rPr>
        <w:t xml:space="preserve">professionals and consumers, and </w:t>
      </w:r>
      <w:r w:rsidRPr="00C5161A">
        <w:rPr>
          <w:rFonts w:asciiTheme="minorHAnsi" w:hAnsiTheme="minorHAnsi"/>
        </w:rPr>
        <w:t>implementing measures to reduce inappropriate prescri</w:t>
      </w:r>
      <w:r w:rsidR="00047F69">
        <w:rPr>
          <w:rFonts w:asciiTheme="minorHAnsi" w:hAnsiTheme="minorHAnsi"/>
        </w:rPr>
        <w:t>bing in the community. We also need to</w:t>
      </w:r>
      <w:r w:rsidR="00257BAB">
        <w:rPr>
          <w:rFonts w:asciiTheme="minorHAnsi" w:hAnsiTheme="minorHAnsi"/>
        </w:rPr>
        <w:t xml:space="preserve"> continue to</w:t>
      </w:r>
      <w:r w:rsidR="00047F69">
        <w:rPr>
          <w:rFonts w:asciiTheme="minorHAnsi" w:hAnsiTheme="minorHAnsi"/>
        </w:rPr>
        <w:t xml:space="preserve"> build levels of awareness of AMR and the importance of appropriate antibiotic use across groups, including</w:t>
      </w:r>
      <w:r w:rsidR="00BE7D56">
        <w:rPr>
          <w:rFonts w:asciiTheme="minorHAnsi" w:hAnsiTheme="minorHAnsi"/>
        </w:rPr>
        <w:t xml:space="preserve"> </w:t>
      </w:r>
      <w:r w:rsidRPr="00C5161A">
        <w:rPr>
          <w:rFonts w:asciiTheme="minorHAnsi" w:hAnsiTheme="minorHAnsi"/>
        </w:rPr>
        <w:t>consumer</w:t>
      </w:r>
      <w:r w:rsidR="00E574D5">
        <w:rPr>
          <w:rFonts w:asciiTheme="minorHAnsi" w:hAnsiTheme="minorHAnsi"/>
        </w:rPr>
        <w:t>s</w:t>
      </w:r>
      <w:r w:rsidR="002309F4">
        <w:rPr>
          <w:rFonts w:asciiTheme="minorHAnsi" w:hAnsiTheme="minorHAnsi"/>
        </w:rPr>
        <w:t>, prescribing professionals, farmers and pet owners</w:t>
      </w:r>
      <w:r w:rsidR="00047F69">
        <w:rPr>
          <w:rFonts w:asciiTheme="minorHAnsi" w:hAnsiTheme="minorHAnsi"/>
        </w:rPr>
        <w:t>.</w:t>
      </w:r>
    </w:p>
    <w:p w:rsidR="00833917" w:rsidRDefault="00833917" w:rsidP="00833917">
      <w:pPr>
        <w:rPr>
          <w:rFonts w:asciiTheme="minorHAnsi" w:hAnsiTheme="minorHAnsi"/>
        </w:rPr>
      </w:pPr>
    </w:p>
    <w:p w:rsidR="00936482" w:rsidRDefault="00C5161A" w:rsidP="001225F3">
      <w:pPr>
        <w:rPr>
          <w:rFonts w:asciiTheme="minorHAnsi" w:hAnsiTheme="minorHAnsi"/>
        </w:rPr>
      </w:pPr>
      <w:r>
        <w:rPr>
          <w:rFonts w:asciiTheme="minorHAnsi" w:hAnsiTheme="minorHAnsi"/>
        </w:rPr>
        <w:t xml:space="preserve">A prerequisite for the successful implementation of activities, particularly in a federated country, is implementing appropriate governance arrangements to oversee and guide activities, </w:t>
      </w:r>
      <w:r w:rsidR="00047F69">
        <w:rPr>
          <w:rFonts w:asciiTheme="minorHAnsi" w:hAnsiTheme="minorHAnsi"/>
        </w:rPr>
        <w:t xml:space="preserve">and </w:t>
      </w:r>
      <w:r>
        <w:rPr>
          <w:rFonts w:asciiTheme="minorHAnsi" w:hAnsiTheme="minorHAnsi"/>
        </w:rPr>
        <w:t>ensure accountability and progress.</w:t>
      </w:r>
      <w:r w:rsidR="00764C4C">
        <w:rPr>
          <w:rFonts w:asciiTheme="minorHAnsi" w:hAnsiTheme="minorHAnsi"/>
        </w:rPr>
        <w:t xml:space="preserve"> </w:t>
      </w:r>
      <w:r w:rsidR="00047F69">
        <w:rPr>
          <w:rFonts w:asciiTheme="minorHAnsi" w:hAnsiTheme="minorHAnsi"/>
        </w:rPr>
        <w:t>I</w:t>
      </w:r>
      <w:r>
        <w:rPr>
          <w:rFonts w:asciiTheme="minorHAnsi" w:hAnsiTheme="minorHAnsi"/>
        </w:rPr>
        <w:t xml:space="preserve">mproving </w:t>
      </w:r>
      <w:r w:rsidR="00BB3176">
        <w:rPr>
          <w:rFonts w:asciiTheme="minorHAnsi" w:hAnsiTheme="minorHAnsi"/>
        </w:rPr>
        <w:t xml:space="preserve">and </w:t>
      </w:r>
      <w:r w:rsidR="00BB3176" w:rsidRPr="00290724">
        <w:rPr>
          <w:rFonts w:asciiTheme="minorHAnsi" w:hAnsiTheme="minorHAnsi"/>
        </w:rPr>
        <w:t xml:space="preserve">refining </w:t>
      </w:r>
      <w:r w:rsidRPr="00290724">
        <w:rPr>
          <w:rFonts w:asciiTheme="minorHAnsi" w:hAnsiTheme="minorHAnsi"/>
        </w:rPr>
        <w:t xml:space="preserve">AMR governance will </w:t>
      </w:r>
      <w:r w:rsidR="00BB3176" w:rsidRPr="00290724">
        <w:rPr>
          <w:rFonts w:asciiTheme="minorHAnsi" w:hAnsiTheme="minorHAnsi"/>
        </w:rPr>
        <w:t xml:space="preserve">be a priority in </w:t>
      </w:r>
      <w:r w:rsidR="00AA632F" w:rsidRPr="00290724">
        <w:rPr>
          <w:rFonts w:asciiTheme="minorHAnsi" w:hAnsiTheme="minorHAnsi"/>
        </w:rPr>
        <w:t xml:space="preserve">the </w:t>
      </w:r>
      <w:r w:rsidR="00290724">
        <w:rPr>
          <w:rFonts w:asciiTheme="minorHAnsi" w:hAnsiTheme="minorHAnsi"/>
        </w:rPr>
        <w:t>short term</w:t>
      </w:r>
      <w:r w:rsidR="00047F69">
        <w:rPr>
          <w:rFonts w:asciiTheme="minorHAnsi" w:hAnsiTheme="minorHAnsi"/>
        </w:rPr>
        <w:t>, including</w:t>
      </w:r>
      <w:r w:rsidR="001225F3">
        <w:rPr>
          <w:rFonts w:asciiTheme="minorHAnsi" w:hAnsiTheme="minorHAnsi"/>
        </w:rPr>
        <w:t xml:space="preserve"> investigating</w:t>
      </w:r>
      <w:r w:rsidR="00833917" w:rsidRPr="00290724">
        <w:rPr>
          <w:rFonts w:asciiTheme="minorHAnsi" w:hAnsiTheme="minorHAnsi"/>
        </w:rPr>
        <w:t xml:space="preserve"> </w:t>
      </w:r>
      <w:r w:rsidR="00047F69">
        <w:rPr>
          <w:rFonts w:asciiTheme="minorHAnsi" w:hAnsiTheme="minorHAnsi"/>
        </w:rPr>
        <w:t xml:space="preserve">options to </w:t>
      </w:r>
      <w:r w:rsidR="001225F3">
        <w:rPr>
          <w:rFonts w:asciiTheme="minorHAnsi" w:hAnsiTheme="minorHAnsi"/>
        </w:rPr>
        <w:t>better</w:t>
      </w:r>
      <w:r w:rsidR="00833917" w:rsidRPr="00290724">
        <w:rPr>
          <w:rFonts w:asciiTheme="minorHAnsi" w:hAnsiTheme="minorHAnsi"/>
        </w:rPr>
        <w:t xml:space="preserve"> </w:t>
      </w:r>
      <w:r w:rsidR="00047F69">
        <w:rPr>
          <w:rFonts w:asciiTheme="minorHAnsi" w:hAnsiTheme="minorHAnsi"/>
        </w:rPr>
        <w:t xml:space="preserve">inform and </w:t>
      </w:r>
      <w:r w:rsidR="00833917" w:rsidRPr="00290724">
        <w:rPr>
          <w:rFonts w:asciiTheme="minorHAnsi" w:hAnsiTheme="minorHAnsi"/>
        </w:rPr>
        <w:t>s</w:t>
      </w:r>
      <w:r w:rsidR="009B3635" w:rsidRPr="00290724">
        <w:rPr>
          <w:rFonts w:asciiTheme="minorHAnsi" w:hAnsiTheme="minorHAnsi"/>
        </w:rPr>
        <w:t>upport</w:t>
      </w:r>
      <w:r w:rsidR="00833917" w:rsidRPr="00290724">
        <w:rPr>
          <w:rFonts w:asciiTheme="minorHAnsi" w:hAnsiTheme="minorHAnsi"/>
        </w:rPr>
        <w:t xml:space="preserve"> </w:t>
      </w:r>
      <w:r w:rsidR="00047F69">
        <w:rPr>
          <w:rFonts w:asciiTheme="minorHAnsi" w:hAnsiTheme="minorHAnsi"/>
        </w:rPr>
        <w:t>response</w:t>
      </w:r>
      <w:r w:rsidR="004E487D">
        <w:rPr>
          <w:rFonts w:asciiTheme="minorHAnsi" w:hAnsiTheme="minorHAnsi"/>
        </w:rPr>
        <w:t>s</w:t>
      </w:r>
      <w:r w:rsidR="00047F69">
        <w:rPr>
          <w:rFonts w:asciiTheme="minorHAnsi" w:hAnsiTheme="minorHAnsi"/>
        </w:rPr>
        <w:t xml:space="preserve"> to both human and animal </w:t>
      </w:r>
      <w:r w:rsidR="001E2F5C" w:rsidRPr="00290724">
        <w:rPr>
          <w:rFonts w:asciiTheme="minorHAnsi" w:hAnsiTheme="minorHAnsi"/>
        </w:rPr>
        <w:t>AMR and antibiotic usage</w:t>
      </w:r>
      <w:r w:rsidR="00047F69">
        <w:rPr>
          <w:rFonts w:asciiTheme="minorHAnsi" w:hAnsiTheme="minorHAnsi"/>
        </w:rPr>
        <w:t xml:space="preserve"> surveillance data.</w:t>
      </w:r>
    </w:p>
    <w:p w:rsidR="00936482" w:rsidRDefault="00936482" w:rsidP="001225F3">
      <w:pPr>
        <w:rPr>
          <w:rFonts w:asciiTheme="minorHAnsi" w:hAnsiTheme="minorHAnsi"/>
        </w:rPr>
      </w:pPr>
    </w:p>
    <w:p w:rsidR="0008579C" w:rsidRPr="00936482" w:rsidRDefault="00936482" w:rsidP="001225F3">
      <w:pPr>
        <w:rPr>
          <w:rFonts w:asciiTheme="minorHAnsi" w:hAnsiTheme="minorHAnsi"/>
        </w:rPr>
      </w:pPr>
      <w:r>
        <w:rPr>
          <w:rFonts w:asciiTheme="minorHAnsi" w:hAnsiTheme="minorHAnsi"/>
        </w:rPr>
        <w:t xml:space="preserve">Our </w:t>
      </w:r>
      <w:r w:rsidR="004E487D">
        <w:rPr>
          <w:rFonts w:asciiTheme="minorHAnsi" w:hAnsiTheme="minorHAnsi"/>
        </w:rPr>
        <w:t xml:space="preserve">intention </w:t>
      </w:r>
      <w:r w:rsidR="00257BAB">
        <w:rPr>
          <w:rFonts w:asciiTheme="minorHAnsi" w:hAnsiTheme="minorHAnsi"/>
        </w:rPr>
        <w:t>is</w:t>
      </w:r>
      <w:r w:rsidR="004E487D">
        <w:rPr>
          <w:rFonts w:asciiTheme="minorHAnsi" w:hAnsiTheme="minorHAnsi"/>
        </w:rPr>
        <w:t xml:space="preserve"> to take</w:t>
      </w:r>
      <w:r w:rsidR="001225F3">
        <w:rPr>
          <w:rFonts w:asciiTheme="minorHAnsi" w:hAnsiTheme="minorHAnsi"/>
        </w:rPr>
        <w:t xml:space="preserve"> </w:t>
      </w:r>
      <w:r w:rsidR="004E487D">
        <w:rPr>
          <w:rFonts w:asciiTheme="minorHAnsi" w:hAnsiTheme="minorHAnsi"/>
        </w:rPr>
        <w:t xml:space="preserve">a One Health approach </w:t>
      </w:r>
      <w:r w:rsidR="009A2E6C">
        <w:rPr>
          <w:rFonts w:asciiTheme="minorHAnsi" w:hAnsiTheme="minorHAnsi"/>
        </w:rPr>
        <w:t>that</w:t>
      </w:r>
      <w:r w:rsidR="001225F3">
        <w:rPr>
          <w:rFonts w:asciiTheme="minorHAnsi" w:hAnsiTheme="minorHAnsi"/>
        </w:rPr>
        <w:t>, over time,</w:t>
      </w:r>
      <w:r w:rsidR="009A2E6C">
        <w:rPr>
          <w:rFonts w:asciiTheme="minorHAnsi" w:hAnsiTheme="minorHAnsi"/>
        </w:rPr>
        <w:t xml:space="preserve"> will </w:t>
      </w:r>
      <w:r w:rsidR="00257BAB">
        <w:rPr>
          <w:rFonts w:asciiTheme="minorHAnsi" w:hAnsiTheme="minorHAnsi"/>
        </w:rPr>
        <w:t>support</w:t>
      </w:r>
      <w:r w:rsidR="009A2E6C">
        <w:rPr>
          <w:rFonts w:asciiTheme="minorHAnsi" w:hAnsiTheme="minorHAnsi"/>
        </w:rPr>
        <w:t xml:space="preserve"> the integration of systems</w:t>
      </w:r>
      <w:r w:rsidR="001225F3">
        <w:rPr>
          <w:rFonts w:asciiTheme="minorHAnsi" w:hAnsiTheme="minorHAnsi"/>
        </w:rPr>
        <w:t>,</w:t>
      </w:r>
      <w:r w:rsidR="009A2E6C">
        <w:rPr>
          <w:rFonts w:asciiTheme="minorHAnsi" w:hAnsiTheme="minorHAnsi"/>
        </w:rPr>
        <w:t xml:space="preserve"> and</w:t>
      </w:r>
      <w:r w:rsidR="001225F3">
        <w:rPr>
          <w:rFonts w:asciiTheme="minorHAnsi" w:hAnsiTheme="minorHAnsi"/>
        </w:rPr>
        <w:t xml:space="preserve"> allow</w:t>
      </w:r>
      <w:r w:rsidR="009A2E6C">
        <w:rPr>
          <w:rFonts w:asciiTheme="minorHAnsi" w:hAnsiTheme="minorHAnsi"/>
        </w:rPr>
        <w:t xml:space="preserve"> combined reporting</w:t>
      </w:r>
      <w:r w:rsidR="004E487D">
        <w:rPr>
          <w:rFonts w:asciiTheme="minorHAnsi" w:hAnsiTheme="minorHAnsi"/>
        </w:rPr>
        <w:t xml:space="preserve"> of data</w:t>
      </w:r>
      <w:r w:rsidR="009A2E6C">
        <w:rPr>
          <w:rFonts w:asciiTheme="minorHAnsi" w:hAnsiTheme="minorHAnsi"/>
        </w:rPr>
        <w:t xml:space="preserve"> and </w:t>
      </w:r>
      <w:r w:rsidR="004E487D">
        <w:rPr>
          <w:rFonts w:asciiTheme="minorHAnsi" w:hAnsiTheme="minorHAnsi"/>
        </w:rPr>
        <w:t xml:space="preserve">more </w:t>
      </w:r>
      <w:r w:rsidR="001225F3">
        <w:rPr>
          <w:rFonts w:asciiTheme="minorHAnsi" w:hAnsiTheme="minorHAnsi"/>
        </w:rPr>
        <w:t xml:space="preserve">coordinated </w:t>
      </w:r>
      <w:r w:rsidR="009A2E6C">
        <w:rPr>
          <w:rFonts w:asciiTheme="minorHAnsi" w:hAnsiTheme="minorHAnsi"/>
        </w:rPr>
        <w:t>interventions</w:t>
      </w:r>
      <w:r w:rsidR="00195059">
        <w:rPr>
          <w:rFonts w:asciiTheme="minorHAnsi" w:hAnsiTheme="minorHAnsi"/>
        </w:rPr>
        <w:t>.</w:t>
      </w:r>
      <w:r w:rsidR="001225F3">
        <w:rPr>
          <w:rFonts w:asciiTheme="minorHAnsi" w:hAnsiTheme="minorHAnsi"/>
        </w:rPr>
        <w:t xml:space="preserve"> </w:t>
      </w:r>
      <w:r w:rsidR="001225F3" w:rsidRPr="001225F3">
        <w:rPr>
          <w:rFonts w:asciiTheme="minorHAnsi" w:hAnsiTheme="minorHAnsi"/>
        </w:rPr>
        <w:t>Achieving an</w:t>
      </w:r>
      <w:r w:rsidR="006C42F0" w:rsidRPr="001225F3">
        <w:rPr>
          <w:rFonts w:asciiTheme="minorHAnsi" w:hAnsiTheme="minorHAnsi"/>
        </w:rPr>
        <w:t xml:space="preserve"> integrated </w:t>
      </w:r>
      <w:r w:rsidR="004E487D">
        <w:rPr>
          <w:rFonts w:asciiTheme="minorHAnsi" w:hAnsiTheme="minorHAnsi"/>
        </w:rPr>
        <w:t>One H</w:t>
      </w:r>
      <w:r w:rsidR="006C42F0" w:rsidRPr="001225F3">
        <w:rPr>
          <w:rFonts w:asciiTheme="minorHAnsi" w:hAnsiTheme="minorHAnsi"/>
        </w:rPr>
        <w:t>ealth</w:t>
      </w:r>
      <w:r w:rsidR="001225F3" w:rsidRPr="001225F3">
        <w:rPr>
          <w:rFonts w:asciiTheme="minorHAnsi" w:hAnsiTheme="minorHAnsi"/>
        </w:rPr>
        <w:t xml:space="preserve"> surveillance system may be progressed </w:t>
      </w:r>
      <w:r w:rsidR="00257BAB">
        <w:rPr>
          <w:rFonts w:asciiTheme="minorHAnsi" w:hAnsiTheme="minorHAnsi"/>
        </w:rPr>
        <w:t>through surveillance of</w:t>
      </w:r>
      <w:r w:rsidR="0008579C" w:rsidRPr="001225F3">
        <w:rPr>
          <w:rFonts w:asciiTheme="minorHAnsi" w:hAnsiTheme="minorHAnsi"/>
        </w:rPr>
        <w:t xml:space="preserve"> similar target organisms of public health importance using standardised laboratory methodology</w:t>
      </w:r>
      <w:r w:rsidR="003B1BF0" w:rsidRPr="001225F3">
        <w:rPr>
          <w:rFonts w:asciiTheme="minorHAnsi" w:hAnsiTheme="minorHAnsi"/>
        </w:rPr>
        <w:t xml:space="preserve"> </w:t>
      </w:r>
      <w:r w:rsidR="00257BAB">
        <w:rPr>
          <w:rFonts w:asciiTheme="minorHAnsi" w:hAnsiTheme="minorHAnsi"/>
        </w:rPr>
        <w:t>and</w:t>
      </w:r>
      <w:r w:rsidR="003B1BF0" w:rsidRPr="001225F3">
        <w:rPr>
          <w:rFonts w:asciiTheme="minorHAnsi" w:hAnsiTheme="minorHAnsi"/>
        </w:rPr>
        <w:t xml:space="preserve"> standardised data systems</w:t>
      </w:r>
      <w:r w:rsidR="006C42F0" w:rsidRPr="001225F3">
        <w:rPr>
          <w:rFonts w:asciiTheme="minorHAnsi" w:hAnsiTheme="minorHAnsi"/>
        </w:rPr>
        <w:t>.</w:t>
      </w:r>
      <w:r w:rsidR="00257BAB">
        <w:rPr>
          <w:rFonts w:asciiTheme="minorHAnsi" w:hAnsiTheme="minorHAnsi"/>
        </w:rPr>
        <w:t xml:space="preserve"> </w:t>
      </w:r>
      <w:r w:rsidR="001225F3" w:rsidRPr="001225F3">
        <w:rPr>
          <w:rFonts w:asciiTheme="minorHAnsi" w:hAnsiTheme="minorHAnsi"/>
        </w:rPr>
        <w:t>A</w:t>
      </w:r>
      <w:r w:rsidR="0008579C" w:rsidRPr="001225F3">
        <w:rPr>
          <w:rFonts w:asciiTheme="minorHAnsi" w:hAnsiTheme="minorHAnsi"/>
        </w:rPr>
        <w:t xml:space="preserve">dequate resourcing to establish </w:t>
      </w:r>
      <w:r w:rsidR="003B1BF0" w:rsidRPr="001225F3">
        <w:rPr>
          <w:rFonts w:asciiTheme="minorHAnsi" w:hAnsiTheme="minorHAnsi"/>
        </w:rPr>
        <w:t xml:space="preserve">these </w:t>
      </w:r>
      <w:r w:rsidR="0008579C" w:rsidRPr="001225F3">
        <w:rPr>
          <w:rFonts w:asciiTheme="minorHAnsi" w:hAnsiTheme="minorHAnsi"/>
        </w:rPr>
        <w:t>systems</w:t>
      </w:r>
      <w:r w:rsidR="003B1BF0" w:rsidRPr="001225F3">
        <w:rPr>
          <w:rFonts w:asciiTheme="minorHAnsi" w:hAnsiTheme="minorHAnsi"/>
        </w:rPr>
        <w:t xml:space="preserve"> will be necessary</w:t>
      </w:r>
      <w:r w:rsidR="0008579C" w:rsidRPr="001225F3">
        <w:rPr>
          <w:rFonts w:asciiTheme="minorHAnsi" w:hAnsiTheme="minorHAnsi"/>
        </w:rPr>
        <w:t>.</w:t>
      </w:r>
    </w:p>
    <w:p w:rsidR="0008579C" w:rsidRPr="00290724" w:rsidRDefault="0008579C" w:rsidP="00AA632F">
      <w:pPr>
        <w:rPr>
          <w:rFonts w:asciiTheme="minorHAnsi" w:hAnsiTheme="minorHAnsi"/>
        </w:rPr>
      </w:pPr>
    </w:p>
    <w:p w:rsidR="00F45A0F" w:rsidRDefault="004135A5" w:rsidP="00585209">
      <w:pPr>
        <w:tabs>
          <w:tab w:val="left" w:pos="3985"/>
        </w:tabs>
        <w:rPr>
          <w:rFonts w:asciiTheme="minorHAnsi" w:hAnsiTheme="minorHAnsi"/>
        </w:rPr>
      </w:pPr>
      <w:r>
        <w:rPr>
          <w:rFonts w:asciiTheme="minorHAnsi" w:hAnsiTheme="minorHAnsi"/>
        </w:rPr>
        <w:t xml:space="preserve">The development of the next </w:t>
      </w:r>
      <w:r w:rsidR="009A68A2">
        <w:rPr>
          <w:rFonts w:asciiTheme="minorHAnsi" w:hAnsiTheme="minorHAnsi"/>
        </w:rPr>
        <w:t xml:space="preserve">AMR </w:t>
      </w:r>
      <w:r>
        <w:rPr>
          <w:rFonts w:asciiTheme="minorHAnsi" w:hAnsiTheme="minorHAnsi"/>
        </w:rPr>
        <w:t xml:space="preserve">Strategy will also take place </w:t>
      </w:r>
      <w:r w:rsidR="00F762D4">
        <w:rPr>
          <w:rFonts w:asciiTheme="minorHAnsi" w:hAnsiTheme="minorHAnsi"/>
        </w:rPr>
        <w:t>within the next two years</w:t>
      </w:r>
      <w:r w:rsidR="00EB0173">
        <w:rPr>
          <w:rFonts w:asciiTheme="minorHAnsi" w:hAnsiTheme="minorHAnsi"/>
        </w:rPr>
        <w:t xml:space="preserve">. </w:t>
      </w:r>
      <w:r w:rsidR="00416B6D">
        <w:rPr>
          <w:rFonts w:asciiTheme="minorHAnsi" w:hAnsiTheme="minorHAnsi"/>
        </w:rPr>
        <w:t>This will provide an</w:t>
      </w:r>
      <w:r w:rsidR="009A68A2">
        <w:rPr>
          <w:rFonts w:asciiTheme="minorHAnsi" w:hAnsiTheme="minorHAnsi"/>
        </w:rPr>
        <w:t xml:space="preserve"> opportunity to reflect on what </w:t>
      </w:r>
      <w:r w:rsidR="00EB0173">
        <w:rPr>
          <w:rFonts w:asciiTheme="minorHAnsi" w:hAnsiTheme="minorHAnsi"/>
        </w:rPr>
        <w:t xml:space="preserve">is working </w:t>
      </w:r>
      <w:r w:rsidR="009A68A2">
        <w:rPr>
          <w:rFonts w:asciiTheme="minorHAnsi" w:hAnsiTheme="minorHAnsi"/>
        </w:rPr>
        <w:t>well</w:t>
      </w:r>
      <w:r w:rsidR="000D0815">
        <w:rPr>
          <w:rFonts w:asciiTheme="minorHAnsi" w:hAnsiTheme="minorHAnsi"/>
        </w:rPr>
        <w:t>, what changes need to be made</w:t>
      </w:r>
      <w:r w:rsidR="009A68A2">
        <w:rPr>
          <w:rFonts w:asciiTheme="minorHAnsi" w:hAnsiTheme="minorHAnsi"/>
        </w:rPr>
        <w:t xml:space="preserve"> and what </w:t>
      </w:r>
      <w:r w:rsidR="00EB0173">
        <w:rPr>
          <w:rFonts w:asciiTheme="minorHAnsi" w:hAnsiTheme="minorHAnsi"/>
        </w:rPr>
        <w:t xml:space="preserve">further action is </w:t>
      </w:r>
      <w:r w:rsidR="000D0815">
        <w:rPr>
          <w:rFonts w:asciiTheme="minorHAnsi" w:hAnsiTheme="minorHAnsi"/>
        </w:rPr>
        <w:t>required</w:t>
      </w:r>
      <w:r w:rsidR="00F762D4">
        <w:rPr>
          <w:rFonts w:asciiTheme="minorHAnsi" w:hAnsiTheme="minorHAnsi"/>
        </w:rPr>
        <w:t xml:space="preserve">. </w:t>
      </w:r>
      <w:r w:rsidR="00EB0173">
        <w:rPr>
          <w:rFonts w:asciiTheme="minorHAnsi" w:hAnsiTheme="minorHAnsi"/>
        </w:rPr>
        <w:t xml:space="preserve">The next </w:t>
      </w:r>
      <w:r w:rsidR="00EB0173" w:rsidRPr="004A54CD">
        <w:rPr>
          <w:rFonts w:asciiTheme="minorHAnsi" w:hAnsiTheme="minorHAnsi"/>
        </w:rPr>
        <w:t>Strategy will</w:t>
      </w:r>
      <w:r w:rsidR="009A68A2" w:rsidRPr="004A54CD">
        <w:rPr>
          <w:rFonts w:asciiTheme="minorHAnsi" w:hAnsiTheme="minorHAnsi"/>
        </w:rPr>
        <w:t xml:space="preserve"> be informed by </w:t>
      </w:r>
      <w:r w:rsidR="004A54CD" w:rsidRPr="004A54CD">
        <w:rPr>
          <w:rFonts w:asciiTheme="minorHAnsi" w:hAnsiTheme="minorHAnsi"/>
        </w:rPr>
        <w:t xml:space="preserve">key projects including, </w:t>
      </w:r>
      <w:r w:rsidR="001E2F5C" w:rsidRPr="004A54CD">
        <w:rPr>
          <w:rFonts w:asciiTheme="minorHAnsi" w:hAnsiTheme="minorHAnsi"/>
        </w:rPr>
        <w:t xml:space="preserve">an </w:t>
      </w:r>
      <w:r w:rsidR="00DA283E" w:rsidRPr="004A54CD">
        <w:rPr>
          <w:rFonts w:asciiTheme="minorHAnsi" w:hAnsiTheme="minorHAnsi"/>
        </w:rPr>
        <w:t xml:space="preserve">economic impact assessment, which will be undertaken to determine the </w:t>
      </w:r>
      <w:r w:rsidR="00416B6D">
        <w:rPr>
          <w:rFonts w:asciiTheme="minorHAnsi" w:hAnsiTheme="minorHAnsi"/>
        </w:rPr>
        <w:t xml:space="preserve">human </w:t>
      </w:r>
      <w:r w:rsidR="00DA283E" w:rsidRPr="004A54CD">
        <w:rPr>
          <w:rFonts w:asciiTheme="minorHAnsi" w:hAnsiTheme="minorHAnsi"/>
        </w:rPr>
        <w:t>health and economic burden of AMR</w:t>
      </w:r>
      <w:r w:rsidR="00DA283E">
        <w:rPr>
          <w:rFonts w:asciiTheme="minorHAnsi" w:hAnsiTheme="minorHAnsi"/>
        </w:rPr>
        <w:t xml:space="preserve"> in Australia</w:t>
      </w:r>
      <w:r w:rsidR="00EB0173">
        <w:rPr>
          <w:rFonts w:asciiTheme="minorHAnsi" w:hAnsiTheme="minorHAnsi"/>
        </w:rPr>
        <w:t>.</w:t>
      </w:r>
      <w:r w:rsidR="00DA283E">
        <w:rPr>
          <w:rFonts w:asciiTheme="minorHAnsi" w:hAnsiTheme="minorHAnsi"/>
        </w:rPr>
        <w:t xml:space="preserve"> </w:t>
      </w:r>
      <w:r w:rsidR="00EB0173">
        <w:rPr>
          <w:rFonts w:asciiTheme="minorHAnsi" w:hAnsiTheme="minorHAnsi"/>
        </w:rPr>
        <w:t xml:space="preserve">This </w:t>
      </w:r>
      <w:r w:rsidR="003B46AA">
        <w:rPr>
          <w:rFonts w:asciiTheme="minorHAnsi" w:hAnsiTheme="minorHAnsi"/>
        </w:rPr>
        <w:t>will provide</w:t>
      </w:r>
      <w:r w:rsidR="00EB0173">
        <w:rPr>
          <w:rFonts w:asciiTheme="minorHAnsi" w:hAnsiTheme="minorHAnsi"/>
        </w:rPr>
        <w:t xml:space="preserve"> further rational</w:t>
      </w:r>
      <w:r w:rsidR="000505CE">
        <w:rPr>
          <w:rFonts w:asciiTheme="minorHAnsi" w:hAnsiTheme="minorHAnsi"/>
        </w:rPr>
        <w:t>e</w:t>
      </w:r>
      <w:r w:rsidR="00EB0173">
        <w:rPr>
          <w:rFonts w:asciiTheme="minorHAnsi" w:hAnsiTheme="minorHAnsi"/>
        </w:rPr>
        <w:t xml:space="preserve"> for</w:t>
      </w:r>
      <w:r w:rsidR="003B46AA">
        <w:rPr>
          <w:rFonts w:asciiTheme="minorHAnsi" w:hAnsiTheme="minorHAnsi"/>
        </w:rPr>
        <w:t xml:space="preserve"> the</w:t>
      </w:r>
      <w:r w:rsidR="00EB0173">
        <w:rPr>
          <w:rFonts w:asciiTheme="minorHAnsi" w:hAnsiTheme="minorHAnsi"/>
        </w:rPr>
        <w:t xml:space="preserve"> benefit and cost-effectivenes</w:t>
      </w:r>
      <w:r w:rsidR="004E487D">
        <w:rPr>
          <w:rFonts w:asciiTheme="minorHAnsi" w:hAnsiTheme="minorHAnsi"/>
        </w:rPr>
        <w:t xml:space="preserve">s of actions to reduce AMR, and, along with the broader evidence base, </w:t>
      </w:r>
      <w:r w:rsidR="00EB0173">
        <w:rPr>
          <w:rFonts w:asciiTheme="minorHAnsi" w:hAnsiTheme="minorHAnsi"/>
        </w:rPr>
        <w:t>will</w:t>
      </w:r>
      <w:r w:rsidR="001225F3">
        <w:rPr>
          <w:rFonts w:asciiTheme="minorHAnsi" w:hAnsiTheme="minorHAnsi"/>
        </w:rPr>
        <w:t xml:space="preserve"> assist in ensuring</w:t>
      </w:r>
      <w:r w:rsidR="00EB0173">
        <w:rPr>
          <w:rFonts w:asciiTheme="minorHAnsi" w:hAnsiTheme="minorHAnsi"/>
        </w:rPr>
        <w:t xml:space="preserve"> that activities under the next Strategy </w:t>
      </w:r>
      <w:r w:rsidR="00DA283E">
        <w:rPr>
          <w:rFonts w:asciiTheme="minorHAnsi" w:hAnsiTheme="minorHAnsi"/>
        </w:rPr>
        <w:t xml:space="preserve">are </w:t>
      </w:r>
      <w:r w:rsidR="001225F3">
        <w:rPr>
          <w:rFonts w:asciiTheme="minorHAnsi" w:hAnsiTheme="minorHAnsi"/>
        </w:rPr>
        <w:t>informed by the</w:t>
      </w:r>
      <w:r w:rsidR="00DA283E">
        <w:rPr>
          <w:rFonts w:asciiTheme="minorHAnsi" w:hAnsiTheme="minorHAnsi"/>
        </w:rPr>
        <w:t xml:space="preserve"> best available knowledge </w:t>
      </w:r>
      <w:r w:rsidR="00EB0173">
        <w:rPr>
          <w:rFonts w:asciiTheme="minorHAnsi" w:hAnsiTheme="minorHAnsi"/>
        </w:rPr>
        <w:t>and evidence.</w:t>
      </w:r>
    </w:p>
    <w:p w:rsidR="00363FB0" w:rsidRDefault="00363FB0">
      <w:pPr>
        <w:rPr>
          <w:rFonts w:asciiTheme="minorHAnsi" w:hAnsiTheme="minorHAnsi" w:cs="Arial"/>
          <w:b/>
          <w:bCs/>
          <w:kern w:val="28"/>
          <w:sz w:val="28"/>
          <w:szCs w:val="32"/>
        </w:rPr>
      </w:pPr>
      <w:r>
        <w:rPr>
          <w:rFonts w:asciiTheme="minorHAnsi" w:hAnsiTheme="minorHAnsi"/>
        </w:rPr>
        <w:br w:type="page"/>
      </w:r>
    </w:p>
    <w:p w:rsidR="009E442E" w:rsidRPr="00D41907" w:rsidRDefault="009E442E" w:rsidP="00D41907">
      <w:pPr>
        <w:pStyle w:val="Heading1"/>
      </w:pPr>
      <w:bookmarkStart w:id="16" w:name="_Toc498070423"/>
      <w:r w:rsidRPr="00D41907">
        <w:lastRenderedPageBreak/>
        <w:t>Summary of key achievements</w:t>
      </w:r>
      <w:bookmarkEnd w:id="16"/>
    </w:p>
    <w:tbl>
      <w:tblPr>
        <w:tblStyle w:val="TableGrid"/>
        <w:tblpPr w:leftFromText="180" w:rightFromText="180" w:vertAnchor="text" w:horzAnchor="margin" w:tblpX="-176" w:tblpY="176"/>
        <w:tblW w:w="9747" w:type="dxa"/>
        <w:tblLook w:val="04A0" w:firstRow="1" w:lastRow="0" w:firstColumn="1" w:lastColumn="0" w:noHBand="0" w:noVBand="1"/>
        <w:tblCaption w:val="Summary of key achievements"/>
        <w:tblDescription w:val="Table summarises the key achievements described in the report under the subheadings of: Communication and Education; Antimicrobial Stewardship; Surveillance; Infection Prevention and Control; Reseaerch; International Engagement; and Governance."/>
      </w:tblPr>
      <w:tblGrid>
        <w:gridCol w:w="9747"/>
      </w:tblGrid>
      <w:tr w:rsidR="00A93797" w:rsidTr="00A93797">
        <w:trPr>
          <w:tblHeader/>
        </w:trPr>
        <w:tc>
          <w:tcPr>
            <w:tcW w:w="9747" w:type="dxa"/>
            <w:shd w:val="clear" w:color="auto" w:fill="BFBFBF" w:themeFill="background1" w:themeFillShade="BF"/>
          </w:tcPr>
          <w:p w:rsidR="00A93797" w:rsidRPr="00A93797" w:rsidRDefault="00A93797" w:rsidP="00445D1A">
            <w:pPr>
              <w:pStyle w:val="Heading2"/>
            </w:pPr>
            <w:r w:rsidRPr="00A93797">
              <w:t>Summary of key achievements against the objectives of the National AMR Strategy 2015-2019</w:t>
            </w:r>
          </w:p>
        </w:tc>
      </w:tr>
      <w:tr w:rsidR="00A93797" w:rsidTr="00A93797">
        <w:tc>
          <w:tcPr>
            <w:tcW w:w="9747" w:type="dxa"/>
            <w:shd w:val="clear" w:color="auto" w:fill="D9D9D9" w:themeFill="background1" w:themeFillShade="D9"/>
          </w:tcPr>
          <w:p w:rsidR="00A93797" w:rsidRDefault="00E6779A" w:rsidP="00445D1A">
            <w:pPr>
              <w:pStyle w:val="Heading3"/>
              <w:spacing w:before="120"/>
            </w:pPr>
            <w:r>
              <w:t>Awareness and understanding</w:t>
            </w:r>
          </w:p>
          <w:p w:rsidR="00A93797" w:rsidRPr="00373F53" w:rsidRDefault="00A93797" w:rsidP="00A93797">
            <w:pPr>
              <w:pStyle w:val="ListParagraph"/>
              <w:numPr>
                <w:ilvl w:val="0"/>
                <w:numId w:val="2"/>
              </w:numPr>
              <w:rPr>
                <w:rFonts w:asciiTheme="minorHAnsi" w:hAnsiTheme="minorHAnsi"/>
              </w:rPr>
            </w:pPr>
            <w:r>
              <w:rPr>
                <w:rFonts w:asciiTheme="minorHAnsi" w:hAnsiTheme="minorHAnsi"/>
              </w:rPr>
              <w:t>Development</w:t>
            </w:r>
            <w:r w:rsidRPr="00373F53">
              <w:rPr>
                <w:rFonts w:asciiTheme="minorHAnsi" w:hAnsiTheme="minorHAnsi"/>
              </w:rPr>
              <w:t xml:space="preserve"> of a national One Health AMR website </w:t>
            </w:r>
            <w:r>
              <w:rPr>
                <w:rFonts w:asciiTheme="minorHAnsi" w:hAnsiTheme="minorHAnsi"/>
              </w:rPr>
              <w:t xml:space="preserve">will </w:t>
            </w:r>
            <w:r w:rsidRPr="00373F53">
              <w:rPr>
                <w:rFonts w:asciiTheme="minorHAnsi" w:hAnsiTheme="minorHAnsi"/>
              </w:rPr>
              <w:t xml:space="preserve">provide a central repository for trusted information on AMR and </w:t>
            </w:r>
            <w:r>
              <w:rPr>
                <w:rFonts w:asciiTheme="minorHAnsi" w:hAnsiTheme="minorHAnsi"/>
              </w:rPr>
              <w:t>antimicrobial</w:t>
            </w:r>
            <w:r w:rsidRPr="00373F53">
              <w:rPr>
                <w:rFonts w:asciiTheme="minorHAnsi" w:hAnsiTheme="minorHAnsi"/>
              </w:rPr>
              <w:t xml:space="preserve"> use targeted at human and animal health professionals, </w:t>
            </w:r>
            <w:r>
              <w:rPr>
                <w:rFonts w:asciiTheme="minorHAnsi" w:hAnsiTheme="minorHAnsi"/>
              </w:rPr>
              <w:t xml:space="preserve">the </w:t>
            </w:r>
            <w:r w:rsidRPr="00373F53">
              <w:rPr>
                <w:rFonts w:asciiTheme="minorHAnsi" w:hAnsiTheme="minorHAnsi"/>
              </w:rPr>
              <w:t>agriculture sector, animal owners and the general public.</w:t>
            </w:r>
          </w:p>
          <w:p w:rsidR="00A93797" w:rsidRDefault="00A93797" w:rsidP="00A93797">
            <w:pPr>
              <w:pStyle w:val="ListParagraph"/>
              <w:numPr>
                <w:ilvl w:val="0"/>
                <w:numId w:val="2"/>
              </w:numPr>
              <w:rPr>
                <w:rFonts w:asciiTheme="minorHAnsi" w:hAnsiTheme="minorHAnsi"/>
              </w:rPr>
            </w:pPr>
            <w:r w:rsidRPr="00373F53">
              <w:rPr>
                <w:rFonts w:asciiTheme="minorHAnsi" w:hAnsiTheme="minorHAnsi"/>
              </w:rPr>
              <w:t>Continued participation in Antibiotic Awareness Week has increased the profile of AMR and the importance of appropriate prescribing and use of antibiotics in hospitals, vet</w:t>
            </w:r>
            <w:r>
              <w:rPr>
                <w:rFonts w:asciiTheme="minorHAnsi" w:hAnsiTheme="minorHAnsi"/>
              </w:rPr>
              <w:t xml:space="preserve"> clinics</w:t>
            </w:r>
            <w:r w:rsidRPr="00373F53">
              <w:rPr>
                <w:rFonts w:asciiTheme="minorHAnsi" w:hAnsiTheme="minorHAnsi"/>
              </w:rPr>
              <w:t>, on</w:t>
            </w:r>
            <w:r>
              <w:rPr>
                <w:rFonts w:asciiTheme="minorHAnsi" w:hAnsiTheme="minorHAnsi"/>
              </w:rPr>
              <w:t>-</w:t>
            </w:r>
            <w:r w:rsidRPr="00373F53">
              <w:rPr>
                <w:rFonts w:asciiTheme="minorHAnsi" w:hAnsiTheme="minorHAnsi"/>
              </w:rPr>
              <w:t>farm and in the community.</w:t>
            </w:r>
          </w:p>
          <w:p w:rsidR="00A93797" w:rsidRPr="00A93797" w:rsidRDefault="00A93797" w:rsidP="00A93797">
            <w:pPr>
              <w:pStyle w:val="ListParagraph"/>
              <w:numPr>
                <w:ilvl w:val="0"/>
                <w:numId w:val="2"/>
              </w:numPr>
              <w:spacing w:after="120"/>
              <w:ind w:left="714" w:hanging="357"/>
              <w:rPr>
                <w:rFonts w:asciiTheme="minorHAnsi" w:hAnsiTheme="minorHAnsi"/>
              </w:rPr>
            </w:pPr>
            <w:r w:rsidRPr="00A93797">
              <w:rPr>
                <w:rFonts w:asciiTheme="minorHAnsi" w:hAnsiTheme="minorHAnsi"/>
              </w:rPr>
              <w:t>The Australian Chief Medical and Veterinary Officers</w:t>
            </w:r>
            <w:r w:rsidRPr="00A93797">
              <w:rPr>
                <w:rFonts w:asciiTheme="minorHAnsi" w:hAnsiTheme="minorHAnsi" w:cs="Arial"/>
              </w:rPr>
              <w:t xml:space="preserve"> have written to their professional </w:t>
            </w:r>
            <w:r w:rsidRPr="00A93797">
              <w:rPr>
                <w:rFonts w:asciiTheme="minorHAnsi" w:hAnsiTheme="minorHAnsi"/>
              </w:rPr>
              <w:t>communities about prudent and responsible use of antimicrobials in practice. The overall aim is to limit and minimise the spread of AMR.</w:t>
            </w:r>
          </w:p>
        </w:tc>
      </w:tr>
      <w:tr w:rsidR="009E442E" w:rsidTr="00A93797">
        <w:tc>
          <w:tcPr>
            <w:tcW w:w="9747" w:type="dxa"/>
            <w:shd w:val="clear" w:color="auto" w:fill="D9D9D9" w:themeFill="background1" w:themeFillShade="D9"/>
          </w:tcPr>
          <w:p w:rsidR="009E442E" w:rsidRDefault="009E442E" w:rsidP="00445D1A">
            <w:pPr>
              <w:pStyle w:val="Heading3"/>
              <w:spacing w:before="120"/>
            </w:pPr>
            <w:r>
              <w:t>Antimicrobial Stewardship</w:t>
            </w:r>
          </w:p>
          <w:p w:rsidR="009E442E" w:rsidRPr="00373F53" w:rsidRDefault="009E442E" w:rsidP="002461C8">
            <w:pPr>
              <w:pStyle w:val="ListParagraph"/>
              <w:numPr>
                <w:ilvl w:val="0"/>
                <w:numId w:val="2"/>
              </w:numPr>
              <w:rPr>
                <w:rFonts w:asciiTheme="minorHAnsi" w:hAnsiTheme="minorHAnsi"/>
              </w:rPr>
            </w:pPr>
            <w:r w:rsidRPr="00373F53">
              <w:rPr>
                <w:rFonts w:asciiTheme="minorHAnsi" w:hAnsiTheme="minorHAnsi"/>
              </w:rPr>
              <w:t>Antimicrobial use in Australian hospitals has declined since the peak usage rate in 2010. Rates of inappropriate use have also declined from 2014 to 2015.</w:t>
            </w:r>
          </w:p>
          <w:p w:rsidR="009E442E" w:rsidRDefault="009E442E" w:rsidP="002461C8">
            <w:pPr>
              <w:pStyle w:val="ListParagraph"/>
              <w:numPr>
                <w:ilvl w:val="0"/>
                <w:numId w:val="2"/>
              </w:numPr>
              <w:rPr>
                <w:rFonts w:asciiTheme="minorHAnsi" w:hAnsiTheme="minorHAnsi"/>
              </w:rPr>
            </w:pPr>
            <w:r w:rsidRPr="00373F53">
              <w:rPr>
                <w:rFonts w:asciiTheme="minorHAnsi" w:hAnsiTheme="minorHAnsi"/>
              </w:rPr>
              <w:t>Expansion of the National Antimicrobial Utilisation Surveillance Program</w:t>
            </w:r>
            <w:r>
              <w:rPr>
                <w:rFonts w:asciiTheme="minorHAnsi" w:hAnsiTheme="minorHAnsi"/>
              </w:rPr>
              <w:t xml:space="preserve"> </w:t>
            </w:r>
            <w:r w:rsidRPr="00373F53">
              <w:rPr>
                <w:rFonts w:asciiTheme="minorHAnsi" w:hAnsiTheme="minorHAnsi"/>
              </w:rPr>
              <w:t>and the Hospital National Antimicrobial Prescribing Survey</w:t>
            </w:r>
            <w:r w:rsidR="00B22DDE">
              <w:rPr>
                <w:rFonts w:asciiTheme="minorHAnsi" w:hAnsiTheme="minorHAnsi"/>
              </w:rPr>
              <w:t xml:space="preserve"> (NAPS)</w:t>
            </w:r>
            <w:r w:rsidRPr="00373F53">
              <w:rPr>
                <w:rFonts w:asciiTheme="minorHAnsi" w:hAnsiTheme="minorHAnsi"/>
              </w:rPr>
              <w:t xml:space="preserve"> ha</w:t>
            </w:r>
            <w:r>
              <w:rPr>
                <w:rFonts w:asciiTheme="minorHAnsi" w:hAnsiTheme="minorHAnsi"/>
              </w:rPr>
              <w:t xml:space="preserve">s </w:t>
            </w:r>
            <w:r w:rsidRPr="00373F53">
              <w:rPr>
                <w:rFonts w:asciiTheme="minorHAnsi" w:hAnsiTheme="minorHAnsi"/>
              </w:rPr>
              <w:t>provided opportunities for more hospitals to benchmark their use of antimicrobials and improve the appropriateness of prescribing.</w:t>
            </w:r>
          </w:p>
          <w:p w:rsidR="002461C8" w:rsidRPr="002461C8" w:rsidRDefault="002461C8" w:rsidP="002461C8">
            <w:pPr>
              <w:pStyle w:val="ListParagraph"/>
              <w:numPr>
                <w:ilvl w:val="0"/>
                <w:numId w:val="2"/>
              </w:numPr>
              <w:rPr>
                <w:rFonts w:asciiTheme="minorHAnsi" w:hAnsiTheme="minorHAnsi"/>
              </w:rPr>
            </w:pPr>
            <w:r w:rsidRPr="002461C8">
              <w:rPr>
                <w:rFonts w:asciiTheme="minorHAnsi" w:hAnsiTheme="minorHAnsi"/>
              </w:rPr>
              <w:t>NAPS has provided insights into antimicrobial prescribing practices across a range of settings to inform both local quality improvement (clinician/practice level) and provide evidence for regional/national programs and responses.</w:t>
            </w:r>
          </w:p>
          <w:p w:rsidR="009E442E" w:rsidRPr="00420F48" w:rsidRDefault="009E442E" w:rsidP="002461C8">
            <w:pPr>
              <w:pStyle w:val="ListParagraph"/>
              <w:numPr>
                <w:ilvl w:val="0"/>
                <w:numId w:val="2"/>
              </w:numPr>
              <w:rPr>
                <w:rFonts w:asciiTheme="minorHAnsi" w:hAnsiTheme="minorHAnsi"/>
              </w:rPr>
            </w:pPr>
            <w:r w:rsidRPr="00420F48">
              <w:rPr>
                <w:rFonts w:asciiTheme="minorHAnsi" w:hAnsiTheme="minorHAnsi"/>
              </w:rPr>
              <w:t xml:space="preserve">Mandatory compliance with National Safety and Quality </w:t>
            </w:r>
            <w:r>
              <w:rPr>
                <w:rFonts w:asciiTheme="minorHAnsi" w:hAnsiTheme="minorHAnsi"/>
              </w:rPr>
              <w:t xml:space="preserve">Health Service Standard </w:t>
            </w:r>
            <w:r w:rsidRPr="00420F48">
              <w:rPr>
                <w:rFonts w:asciiTheme="minorHAnsi" w:hAnsiTheme="minorHAnsi"/>
              </w:rPr>
              <w:t xml:space="preserve">3: </w:t>
            </w:r>
            <w:r w:rsidRPr="00420F48">
              <w:rPr>
                <w:rFonts w:asciiTheme="minorHAnsi" w:hAnsiTheme="minorHAnsi"/>
                <w:i/>
              </w:rPr>
              <w:t xml:space="preserve">Preventing and Controlling Healthcare Associated Infections </w:t>
            </w:r>
            <w:r w:rsidRPr="00420F48">
              <w:rPr>
                <w:rFonts w:asciiTheme="minorHAnsi" w:hAnsiTheme="minorHAnsi"/>
              </w:rPr>
              <w:t>has increased focus on antimicrobial stewardship</w:t>
            </w:r>
            <w:r>
              <w:rPr>
                <w:rFonts w:asciiTheme="minorHAnsi" w:hAnsiTheme="minorHAnsi"/>
              </w:rPr>
              <w:t xml:space="preserve"> </w:t>
            </w:r>
            <w:r w:rsidRPr="00420F48">
              <w:rPr>
                <w:rFonts w:asciiTheme="minorHAnsi" w:hAnsiTheme="minorHAnsi"/>
              </w:rPr>
              <w:t>and infection prevention and control</w:t>
            </w:r>
            <w:r>
              <w:rPr>
                <w:rFonts w:asciiTheme="minorHAnsi" w:hAnsiTheme="minorHAnsi"/>
              </w:rPr>
              <w:t xml:space="preserve"> </w:t>
            </w:r>
            <w:r w:rsidRPr="00420F48">
              <w:rPr>
                <w:rFonts w:asciiTheme="minorHAnsi" w:hAnsiTheme="minorHAnsi"/>
              </w:rPr>
              <w:t>in hospitals.</w:t>
            </w:r>
          </w:p>
          <w:p w:rsidR="009E442E" w:rsidRPr="00C508C3" w:rsidRDefault="009E442E" w:rsidP="002461C8">
            <w:pPr>
              <w:pStyle w:val="ListParagraph"/>
              <w:numPr>
                <w:ilvl w:val="0"/>
                <w:numId w:val="2"/>
              </w:numPr>
              <w:rPr>
                <w:rFonts w:asciiTheme="minorHAnsi" w:hAnsiTheme="minorHAnsi"/>
              </w:rPr>
            </w:pPr>
            <w:r w:rsidRPr="00420F48">
              <w:rPr>
                <w:rFonts w:asciiTheme="minorHAnsi" w:hAnsiTheme="minorHAnsi"/>
              </w:rPr>
              <w:t xml:space="preserve">The Australian Chicken Meat Federation, Meat &amp; Livestock Australia, Australian Pork Limited, and Australian Eggs Limited have formed an Intensive Animal Antimicrobial Stewardship working group. The working group has developed an </w:t>
            </w:r>
            <w:r w:rsidR="003C320A">
              <w:rPr>
                <w:rFonts w:asciiTheme="minorHAnsi" w:hAnsiTheme="minorHAnsi"/>
              </w:rPr>
              <w:t>antimicrobial stewardship</w:t>
            </w:r>
            <w:r w:rsidRPr="00420F48">
              <w:rPr>
                <w:rFonts w:asciiTheme="minorHAnsi" w:hAnsiTheme="minorHAnsi"/>
              </w:rPr>
              <w:t xml:space="preserve"> framework that all parties have agreed to use as a basis for </w:t>
            </w:r>
            <w:r w:rsidR="003C320A">
              <w:rPr>
                <w:rFonts w:asciiTheme="minorHAnsi" w:hAnsiTheme="minorHAnsi"/>
              </w:rPr>
              <w:t>stewardship</w:t>
            </w:r>
            <w:r w:rsidRPr="00420F48">
              <w:rPr>
                <w:rFonts w:asciiTheme="minorHAnsi" w:hAnsiTheme="minorHAnsi"/>
              </w:rPr>
              <w:t xml:space="preserve"> activities.</w:t>
            </w:r>
          </w:p>
          <w:p w:rsidR="009E442E" w:rsidRPr="00420F48" w:rsidRDefault="009E442E" w:rsidP="00E6779A">
            <w:pPr>
              <w:pStyle w:val="ListParagraph"/>
              <w:numPr>
                <w:ilvl w:val="0"/>
                <w:numId w:val="2"/>
              </w:numPr>
              <w:spacing w:after="120"/>
              <w:rPr>
                <w:rFonts w:asciiTheme="minorHAnsi" w:hAnsiTheme="minorHAnsi"/>
                <w:b/>
              </w:rPr>
            </w:pPr>
            <w:r w:rsidRPr="00420F48">
              <w:rPr>
                <w:rFonts w:asciiTheme="minorHAnsi" w:hAnsiTheme="minorHAnsi"/>
              </w:rPr>
              <w:t xml:space="preserve">The Australian Veterinary Association is currently coordinating a </w:t>
            </w:r>
            <w:hyperlink r:id="rId24" w:history="1">
              <w:r w:rsidRPr="00420F48">
                <w:rPr>
                  <w:rFonts w:asciiTheme="minorHAnsi" w:hAnsiTheme="minorHAnsi"/>
                </w:rPr>
                <w:t xml:space="preserve">pilot trial of an </w:t>
              </w:r>
              <w:r w:rsidR="00E6779A">
                <w:rPr>
                  <w:rFonts w:asciiTheme="minorHAnsi" w:hAnsiTheme="minorHAnsi"/>
                </w:rPr>
                <w:t xml:space="preserve">antimicrobial stewardship </w:t>
              </w:r>
              <w:r w:rsidRPr="00420F48">
                <w:rPr>
                  <w:rFonts w:asciiTheme="minorHAnsi" w:hAnsiTheme="minorHAnsi"/>
                </w:rPr>
                <w:t>program</w:t>
              </w:r>
            </w:hyperlink>
            <w:r w:rsidRPr="00420F48">
              <w:rPr>
                <w:rFonts w:asciiTheme="minorHAnsi" w:hAnsiTheme="minorHAnsi"/>
              </w:rPr>
              <w:t xml:space="preserve"> with companion animal practices in Canberra. The project looks at prescribing activity over a 12 month period, comparing prescribing behaviour before and after the participants receive training in </w:t>
            </w:r>
            <w:r w:rsidR="00E6779A">
              <w:rPr>
                <w:rFonts w:asciiTheme="minorHAnsi" w:hAnsiTheme="minorHAnsi"/>
              </w:rPr>
              <w:t>stewardship</w:t>
            </w:r>
            <w:r>
              <w:rPr>
                <w:rFonts w:asciiTheme="minorHAnsi" w:hAnsiTheme="minorHAnsi"/>
              </w:rPr>
              <w:t>.</w:t>
            </w:r>
          </w:p>
        </w:tc>
      </w:tr>
      <w:tr w:rsidR="009E442E" w:rsidTr="00A93797">
        <w:tc>
          <w:tcPr>
            <w:tcW w:w="9747" w:type="dxa"/>
            <w:shd w:val="clear" w:color="auto" w:fill="D9D9D9" w:themeFill="background1" w:themeFillShade="D9"/>
          </w:tcPr>
          <w:p w:rsidR="009E442E" w:rsidRPr="00445D1A" w:rsidRDefault="009E442E" w:rsidP="00445D1A">
            <w:pPr>
              <w:pStyle w:val="Heading3"/>
              <w:spacing w:before="120"/>
            </w:pPr>
            <w:r w:rsidRPr="00420F48">
              <w:t>Surveillance</w:t>
            </w:r>
          </w:p>
          <w:p w:rsidR="009E442E" w:rsidRPr="00E6779A" w:rsidRDefault="009E442E" w:rsidP="009E442E">
            <w:pPr>
              <w:pStyle w:val="ListParagraph"/>
              <w:numPr>
                <w:ilvl w:val="0"/>
                <w:numId w:val="2"/>
              </w:numPr>
              <w:rPr>
                <w:rFonts w:asciiTheme="minorHAnsi" w:hAnsiTheme="minorHAnsi"/>
              </w:rPr>
            </w:pPr>
            <w:r w:rsidRPr="00E6779A">
              <w:rPr>
                <w:rFonts w:asciiTheme="minorHAnsi" w:hAnsiTheme="minorHAnsi"/>
              </w:rPr>
              <w:t xml:space="preserve">Establishment of the National Antimicrobial Usage and Resistance in Australia </w:t>
            </w:r>
            <w:r w:rsidR="00E6779A" w:rsidRPr="00E6779A">
              <w:rPr>
                <w:rFonts w:asciiTheme="minorHAnsi" w:hAnsiTheme="minorHAnsi"/>
              </w:rPr>
              <w:t>s</w:t>
            </w:r>
            <w:r w:rsidRPr="00E6779A">
              <w:rPr>
                <w:rFonts w:asciiTheme="minorHAnsi" w:hAnsiTheme="minorHAnsi"/>
              </w:rPr>
              <w:t xml:space="preserve">urveillance </w:t>
            </w:r>
            <w:r w:rsidR="00E6779A" w:rsidRPr="00E6779A">
              <w:rPr>
                <w:rFonts w:asciiTheme="minorHAnsi" w:hAnsiTheme="minorHAnsi"/>
              </w:rPr>
              <w:t>s</w:t>
            </w:r>
            <w:r w:rsidRPr="00E6779A">
              <w:rPr>
                <w:rFonts w:asciiTheme="minorHAnsi" w:hAnsiTheme="minorHAnsi"/>
              </w:rPr>
              <w:t>ystem and expansion of key surveillance programs in human health has improved our understanding of the extent of the problem in Australia and informs prevention and containment strategies.</w:t>
            </w:r>
          </w:p>
          <w:p w:rsidR="009E442E" w:rsidRPr="00E6779A" w:rsidRDefault="009E442E" w:rsidP="00E6779A">
            <w:pPr>
              <w:pStyle w:val="ListParagraph"/>
              <w:numPr>
                <w:ilvl w:val="0"/>
                <w:numId w:val="2"/>
              </w:numPr>
              <w:rPr>
                <w:rFonts w:asciiTheme="minorHAnsi" w:hAnsiTheme="minorHAnsi"/>
              </w:rPr>
            </w:pPr>
            <w:r w:rsidRPr="00420F48">
              <w:rPr>
                <w:rFonts w:asciiTheme="minorHAnsi" w:hAnsiTheme="minorHAnsi"/>
              </w:rPr>
              <w:t xml:space="preserve">Establishment of proof-of-concept AMR surveillance projects in key intensive animal </w:t>
            </w:r>
            <w:r w:rsidRPr="00420F48">
              <w:rPr>
                <w:rFonts w:asciiTheme="minorHAnsi" w:hAnsiTheme="minorHAnsi"/>
              </w:rPr>
              <w:lastRenderedPageBreak/>
              <w:t>industries. The outcomes will help inform approaches with AMR for participating industries and policy makers.</w:t>
            </w:r>
          </w:p>
          <w:p w:rsidR="00E6779A" w:rsidRPr="00420F48" w:rsidRDefault="00E6779A" w:rsidP="00E6779A">
            <w:pPr>
              <w:pStyle w:val="ListParagraph"/>
              <w:rPr>
                <w:rFonts w:asciiTheme="minorHAnsi" w:hAnsiTheme="minorHAnsi"/>
                <w:b/>
                <w:i/>
              </w:rPr>
            </w:pPr>
          </w:p>
        </w:tc>
      </w:tr>
      <w:tr w:rsidR="009E442E" w:rsidTr="00A93797">
        <w:tc>
          <w:tcPr>
            <w:tcW w:w="9747" w:type="dxa"/>
            <w:shd w:val="clear" w:color="auto" w:fill="D9D9D9" w:themeFill="background1" w:themeFillShade="D9"/>
          </w:tcPr>
          <w:p w:rsidR="009E442E" w:rsidRPr="00445D1A" w:rsidRDefault="009E442E" w:rsidP="00445D1A">
            <w:pPr>
              <w:pStyle w:val="Heading3"/>
              <w:spacing w:before="120"/>
            </w:pPr>
            <w:r w:rsidRPr="00420F48">
              <w:lastRenderedPageBreak/>
              <w:t>Infection Prevention and Control</w:t>
            </w:r>
          </w:p>
          <w:p w:rsidR="009E442E" w:rsidRPr="00420F48" w:rsidRDefault="009E442E" w:rsidP="009E442E">
            <w:pPr>
              <w:pStyle w:val="ListParagraph"/>
              <w:numPr>
                <w:ilvl w:val="0"/>
                <w:numId w:val="2"/>
              </w:numPr>
              <w:rPr>
                <w:rFonts w:asciiTheme="minorHAnsi" w:hAnsiTheme="minorHAnsi"/>
              </w:rPr>
            </w:pPr>
            <w:r w:rsidRPr="00420F48">
              <w:rPr>
                <w:rFonts w:asciiTheme="minorHAnsi" w:hAnsiTheme="minorHAnsi"/>
              </w:rPr>
              <w:t>The national hand hygiene benchmark was increased to 80% in 2017 and complia</w:t>
            </w:r>
            <w:r>
              <w:rPr>
                <w:rFonts w:asciiTheme="minorHAnsi" w:hAnsiTheme="minorHAnsi"/>
              </w:rPr>
              <w:t>nce is consistently improving.</w:t>
            </w:r>
          </w:p>
          <w:p w:rsidR="00C45E29" w:rsidRDefault="009E442E" w:rsidP="00887EFA">
            <w:pPr>
              <w:pStyle w:val="ListParagraph"/>
              <w:numPr>
                <w:ilvl w:val="0"/>
                <w:numId w:val="2"/>
              </w:numPr>
              <w:rPr>
                <w:rFonts w:asciiTheme="minorHAnsi" w:hAnsiTheme="minorHAnsi"/>
              </w:rPr>
            </w:pPr>
            <w:r w:rsidRPr="00887EFA">
              <w:rPr>
                <w:rFonts w:asciiTheme="minorHAnsi" w:hAnsiTheme="minorHAnsi"/>
              </w:rPr>
              <w:t xml:space="preserve">The </w:t>
            </w:r>
            <w:r w:rsidRPr="00887EFA">
              <w:rPr>
                <w:rFonts w:asciiTheme="minorHAnsi" w:hAnsiTheme="minorHAnsi" w:cs="Arial"/>
                <w:i/>
              </w:rPr>
              <w:t>Australian Guidelines for the Prevention and Control of Infection in Healthcare</w:t>
            </w:r>
            <w:r w:rsidRPr="00887EFA">
              <w:rPr>
                <w:rFonts w:asciiTheme="minorHAnsi" w:hAnsiTheme="minorHAnsi" w:cs="Arial"/>
              </w:rPr>
              <w:t>, which are currently being updated,</w:t>
            </w:r>
            <w:r w:rsidRPr="00887EFA">
              <w:rPr>
                <w:rFonts w:asciiTheme="minorHAnsi" w:hAnsiTheme="minorHAnsi" w:cs="Arial"/>
                <w:i/>
              </w:rPr>
              <w:t xml:space="preserve"> </w:t>
            </w:r>
            <w:r w:rsidRPr="00887EFA">
              <w:rPr>
                <w:rFonts w:asciiTheme="minorHAnsi" w:hAnsiTheme="minorHAnsi" w:cs="Arial"/>
              </w:rPr>
              <w:t xml:space="preserve">provide a national, </w:t>
            </w:r>
            <w:r w:rsidRPr="00887EFA">
              <w:rPr>
                <w:rFonts w:asciiTheme="minorHAnsi" w:hAnsiTheme="minorHAnsi"/>
              </w:rPr>
              <w:t>best-practice source of information that can be adapted to specific settings</w:t>
            </w:r>
            <w:r w:rsidR="00887EFA">
              <w:rPr>
                <w:rFonts w:asciiTheme="minorHAnsi" w:hAnsiTheme="minorHAnsi"/>
              </w:rPr>
              <w:t>.</w:t>
            </w:r>
          </w:p>
          <w:p w:rsidR="009E442E" w:rsidRPr="00887EFA" w:rsidRDefault="009E442E" w:rsidP="00887EFA">
            <w:pPr>
              <w:pStyle w:val="ListParagraph"/>
              <w:numPr>
                <w:ilvl w:val="0"/>
                <w:numId w:val="2"/>
              </w:numPr>
              <w:rPr>
                <w:rFonts w:asciiTheme="minorHAnsi" w:hAnsiTheme="minorHAnsi"/>
              </w:rPr>
            </w:pPr>
            <w:r w:rsidRPr="00887EFA">
              <w:rPr>
                <w:rFonts w:asciiTheme="minorHAnsi" w:hAnsiTheme="minorHAnsi"/>
              </w:rPr>
              <w:t>Additional guidance has been developed for controlling the spread of carbapenem</w:t>
            </w:r>
            <w:r w:rsidR="00E6779A">
              <w:rPr>
                <w:rFonts w:asciiTheme="minorHAnsi" w:hAnsiTheme="minorHAnsi"/>
              </w:rPr>
              <w:t>-</w:t>
            </w:r>
            <w:r w:rsidRPr="00887EFA">
              <w:rPr>
                <w:rFonts w:asciiTheme="minorHAnsi" w:hAnsiTheme="minorHAnsi"/>
              </w:rPr>
              <w:t>resistant Enterobacteriaceae, an organism of particular concern.</w:t>
            </w:r>
          </w:p>
          <w:p w:rsidR="009E442E" w:rsidRPr="00420F48" w:rsidRDefault="009E442E" w:rsidP="009E442E">
            <w:pPr>
              <w:pStyle w:val="ListParagraph"/>
              <w:numPr>
                <w:ilvl w:val="0"/>
                <w:numId w:val="2"/>
              </w:numPr>
              <w:rPr>
                <w:rFonts w:asciiTheme="minorHAnsi" w:hAnsiTheme="minorHAnsi"/>
              </w:rPr>
            </w:pPr>
            <w:r w:rsidRPr="00420F48">
              <w:rPr>
                <w:rFonts w:asciiTheme="minorHAnsi" w:hAnsiTheme="minorHAnsi"/>
              </w:rPr>
              <w:t xml:space="preserve">In 2017, the Australian Veterinary Association </w:t>
            </w:r>
            <w:r w:rsidR="00E6779A">
              <w:rPr>
                <w:rFonts w:asciiTheme="minorHAnsi" w:hAnsiTheme="minorHAnsi"/>
              </w:rPr>
              <w:t xml:space="preserve">(AVA) </w:t>
            </w:r>
            <w:r w:rsidRPr="00420F48">
              <w:rPr>
                <w:rFonts w:asciiTheme="minorHAnsi" w:hAnsiTheme="minorHAnsi"/>
              </w:rPr>
              <w:t xml:space="preserve">published updated </w:t>
            </w:r>
            <w:r w:rsidRPr="00420F48">
              <w:rPr>
                <w:rFonts w:asciiTheme="minorHAnsi" w:hAnsiTheme="minorHAnsi"/>
                <w:i/>
              </w:rPr>
              <w:t xml:space="preserve">AVA </w:t>
            </w:r>
            <w:hyperlink r:id="rId25" w:history="1">
              <w:r w:rsidRPr="00420F48">
                <w:rPr>
                  <w:rFonts w:asciiTheme="minorHAnsi" w:hAnsiTheme="minorHAnsi"/>
                  <w:i/>
                </w:rPr>
                <w:t>Guidelines for veterinary personal biosecurity</w:t>
              </w:r>
            </w:hyperlink>
            <w:r w:rsidRPr="00420F48">
              <w:rPr>
                <w:rFonts w:asciiTheme="minorHAnsi" w:hAnsiTheme="minorHAnsi"/>
              </w:rPr>
              <w:t>.</w:t>
            </w:r>
          </w:p>
          <w:p w:rsidR="009E442E" w:rsidRPr="00420F48" w:rsidRDefault="009E442E" w:rsidP="009E442E">
            <w:pPr>
              <w:pStyle w:val="ListParagraph"/>
              <w:numPr>
                <w:ilvl w:val="0"/>
                <w:numId w:val="2"/>
              </w:numPr>
              <w:rPr>
                <w:rFonts w:asciiTheme="minorHAnsi" w:hAnsiTheme="minorHAnsi"/>
              </w:rPr>
            </w:pPr>
            <w:r w:rsidRPr="00420F48">
              <w:rPr>
                <w:rFonts w:asciiTheme="minorHAnsi" w:hAnsiTheme="minorHAnsi"/>
              </w:rPr>
              <w:t xml:space="preserve">The Australian Cattle Veterinarians (special interest group of the AVA) launched </w:t>
            </w:r>
            <w:r>
              <w:rPr>
                <w:rFonts w:asciiTheme="minorHAnsi" w:hAnsiTheme="minorHAnsi"/>
              </w:rPr>
              <w:t xml:space="preserve">the </w:t>
            </w:r>
            <w:hyperlink r:id="rId26" w:history="1">
              <w:r w:rsidRPr="00420F48">
                <w:rPr>
                  <w:rFonts w:asciiTheme="minorHAnsi" w:hAnsiTheme="minorHAnsi"/>
                  <w:i/>
                </w:rPr>
                <w:t>BIOCHECK® Biosecurity plan</w:t>
              </w:r>
            </w:hyperlink>
            <w:r w:rsidRPr="00420F48">
              <w:rPr>
                <w:rFonts w:asciiTheme="minorHAnsi" w:hAnsiTheme="minorHAnsi"/>
              </w:rPr>
              <w:t>.</w:t>
            </w:r>
          </w:p>
          <w:p w:rsidR="009E442E" w:rsidRPr="00420F48" w:rsidRDefault="009E442E" w:rsidP="00E6779A">
            <w:pPr>
              <w:pStyle w:val="ListParagraph"/>
              <w:numPr>
                <w:ilvl w:val="0"/>
                <w:numId w:val="2"/>
              </w:numPr>
              <w:spacing w:after="120"/>
              <w:rPr>
                <w:rFonts w:asciiTheme="minorHAnsi" w:hAnsiTheme="minorHAnsi"/>
              </w:rPr>
            </w:pPr>
            <w:r w:rsidRPr="00420F48">
              <w:rPr>
                <w:rFonts w:asciiTheme="minorHAnsi" w:hAnsiTheme="minorHAnsi"/>
              </w:rPr>
              <w:t xml:space="preserve">The University of Sydney </w:t>
            </w:r>
            <w:r w:rsidR="00E6779A">
              <w:rPr>
                <w:rFonts w:asciiTheme="minorHAnsi" w:hAnsiTheme="minorHAnsi"/>
              </w:rPr>
              <w:t>is</w:t>
            </w:r>
            <w:r w:rsidR="00E6779A" w:rsidRPr="00420F48">
              <w:rPr>
                <w:rFonts w:asciiTheme="minorHAnsi" w:hAnsiTheme="minorHAnsi"/>
              </w:rPr>
              <w:t xml:space="preserve"> </w:t>
            </w:r>
            <w:r w:rsidRPr="00420F48">
              <w:rPr>
                <w:rFonts w:asciiTheme="minorHAnsi" w:hAnsiTheme="minorHAnsi"/>
              </w:rPr>
              <w:t xml:space="preserve">undertaking </w:t>
            </w:r>
            <w:r w:rsidR="00E6779A">
              <w:rPr>
                <w:rFonts w:asciiTheme="minorHAnsi" w:hAnsiTheme="minorHAnsi"/>
              </w:rPr>
              <w:t>a range of</w:t>
            </w:r>
            <w:r w:rsidRPr="00420F48">
              <w:rPr>
                <w:rFonts w:asciiTheme="minorHAnsi" w:hAnsiTheme="minorHAnsi"/>
              </w:rPr>
              <w:t xml:space="preserve"> projects related to resistant </w:t>
            </w:r>
            <w:r w:rsidRPr="00420F48">
              <w:rPr>
                <w:rFonts w:asciiTheme="minorHAnsi" w:hAnsiTheme="minorHAnsi"/>
                <w:i/>
              </w:rPr>
              <w:t>Staphylococcus</w:t>
            </w:r>
            <w:r w:rsidRPr="00420F48">
              <w:rPr>
                <w:rFonts w:asciiTheme="minorHAnsi" w:hAnsiTheme="minorHAnsi"/>
              </w:rPr>
              <w:t xml:space="preserve"> species in companion animals.</w:t>
            </w:r>
          </w:p>
        </w:tc>
      </w:tr>
      <w:tr w:rsidR="009E442E" w:rsidTr="00A93797">
        <w:tc>
          <w:tcPr>
            <w:tcW w:w="9747" w:type="dxa"/>
            <w:tcBorders>
              <w:bottom w:val="single" w:sz="4" w:space="0" w:color="auto"/>
            </w:tcBorders>
            <w:shd w:val="clear" w:color="auto" w:fill="D9D9D9" w:themeFill="background1" w:themeFillShade="D9"/>
          </w:tcPr>
          <w:p w:rsidR="009E442E" w:rsidRPr="00445D1A" w:rsidRDefault="009E442E" w:rsidP="00445D1A">
            <w:pPr>
              <w:pStyle w:val="Heading3"/>
              <w:spacing w:before="120"/>
            </w:pPr>
            <w:r>
              <w:t>Research</w:t>
            </w:r>
          </w:p>
          <w:p w:rsidR="009E442E" w:rsidRPr="00E6779A" w:rsidRDefault="009E442E" w:rsidP="009E442E">
            <w:pPr>
              <w:pStyle w:val="ListParagraph"/>
              <w:numPr>
                <w:ilvl w:val="0"/>
                <w:numId w:val="2"/>
              </w:numPr>
              <w:rPr>
                <w:rFonts w:asciiTheme="minorHAnsi" w:hAnsiTheme="minorHAnsi"/>
              </w:rPr>
            </w:pPr>
            <w:r w:rsidRPr="00373F53">
              <w:rPr>
                <w:rFonts w:asciiTheme="minorHAnsi" w:hAnsiTheme="minorHAnsi"/>
              </w:rPr>
              <w:t xml:space="preserve">The </w:t>
            </w:r>
            <w:r w:rsidRPr="00373F53">
              <w:rPr>
                <w:rFonts w:asciiTheme="minorHAnsi" w:hAnsiTheme="minorHAnsi"/>
                <w:i/>
                <w:iCs/>
              </w:rPr>
              <w:t>Australian Medical Research and Innovation Priorities 2016-2018</w:t>
            </w:r>
            <w:r w:rsidRPr="00373F53">
              <w:rPr>
                <w:rFonts w:asciiTheme="minorHAnsi" w:hAnsiTheme="minorHAnsi"/>
              </w:rPr>
              <w:t xml:space="preserve"> identified AMR as a research priority for the Medical Research Future Fund</w:t>
            </w:r>
            <w:r>
              <w:rPr>
                <w:rFonts w:asciiTheme="minorHAnsi" w:hAnsiTheme="minorHAnsi"/>
              </w:rPr>
              <w:t xml:space="preserve"> for 2016-17 to 2017-</w:t>
            </w:r>
            <w:r w:rsidRPr="00373F53">
              <w:rPr>
                <w:rFonts w:asciiTheme="minorHAnsi" w:hAnsiTheme="minorHAnsi"/>
              </w:rPr>
              <w:t>18.</w:t>
            </w:r>
            <w:r w:rsidRPr="00F85AA1">
              <w:rPr>
                <w:rFonts w:asciiTheme="minorHAnsi" w:hAnsiTheme="minorHAnsi" w:cs="Arial"/>
              </w:rPr>
              <w:t xml:space="preserve"> The 2016-2017</w:t>
            </w:r>
            <w:r w:rsidR="00E6779A">
              <w:rPr>
                <w:rFonts w:asciiTheme="minorHAnsi" w:hAnsiTheme="minorHAnsi" w:cs="Arial"/>
              </w:rPr>
              <w:t xml:space="preserve"> </w:t>
            </w:r>
            <w:r>
              <w:rPr>
                <w:rFonts w:asciiTheme="minorHAnsi" w:hAnsiTheme="minorHAnsi" w:cs="Arial"/>
              </w:rPr>
              <w:t>allocation for AMR research is</w:t>
            </w:r>
            <w:r w:rsidRPr="00F85AA1">
              <w:rPr>
                <w:rFonts w:asciiTheme="minorHAnsi" w:hAnsiTheme="minorHAnsi" w:cs="Arial"/>
              </w:rPr>
              <w:t xml:space="preserve"> $5.9 million.</w:t>
            </w:r>
          </w:p>
          <w:p w:rsidR="009E442E" w:rsidRPr="00E6779A" w:rsidRDefault="009E442E" w:rsidP="009E442E">
            <w:pPr>
              <w:pStyle w:val="ListParagraph"/>
              <w:numPr>
                <w:ilvl w:val="0"/>
                <w:numId w:val="2"/>
              </w:numPr>
              <w:rPr>
                <w:rFonts w:asciiTheme="minorHAnsi" w:hAnsiTheme="minorHAnsi"/>
              </w:rPr>
            </w:pPr>
            <w:r w:rsidRPr="00E6779A">
              <w:rPr>
                <w:rFonts w:asciiTheme="minorHAnsi" w:hAnsiTheme="minorHAnsi" w:cs="Arial"/>
              </w:rPr>
              <w:t>Investment in AMR research and development in Australia remains strong, with over $90 million in active National Health and Medical Research Council grants as at April 2017.</w:t>
            </w:r>
          </w:p>
          <w:p w:rsidR="009E442E" w:rsidRPr="00C5097B" w:rsidRDefault="009E442E" w:rsidP="009E442E">
            <w:pPr>
              <w:pStyle w:val="ListParagraph"/>
              <w:numPr>
                <w:ilvl w:val="0"/>
                <w:numId w:val="2"/>
              </w:numPr>
              <w:spacing w:after="120"/>
              <w:rPr>
                <w:rFonts w:asciiTheme="minorHAnsi" w:hAnsiTheme="minorHAnsi"/>
              </w:rPr>
            </w:pPr>
            <w:r w:rsidRPr="001544FC">
              <w:rPr>
                <w:rFonts w:asciiTheme="minorHAnsi" w:hAnsiTheme="minorHAnsi" w:cs="Arial"/>
              </w:rPr>
              <w:t xml:space="preserve">The </w:t>
            </w:r>
            <w:r>
              <w:rPr>
                <w:rFonts w:asciiTheme="minorHAnsi" w:hAnsiTheme="minorHAnsi" w:cs="Arial"/>
              </w:rPr>
              <w:t xml:space="preserve">NHMRC’s </w:t>
            </w:r>
            <w:r w:rsidRPr="001544FC">
              <w:rPr>
                <w:rFonts w:asciiTheme="minorHAnsi" w:hAnsiTheme="minorHAnsi" w:cs="Arial"/>
              </w:rPr>
              <w:t>Centres of Research</w:t>
            </w:r>
            <w:r>
              <w:rPr>
                <w:rFonts w:asciiTheme="minorHAnsi" w:hAnsiTheme="minorHAnsi" w:cs="Arial"/>
              </w:rPr>
              <w:t xml:space="preserve"> Excellence scheme continues to </w:t>
            </w:r>
            <w:r w:rsidRPr="001544FC">
              <w:rPr>
                <w:rFonts w:asciiTheme="minorHAnsi" w:hAnsiTheme="minorHAnsi" w:cs="Arial"/>
              </w:rPr>
              <w:t xml:space="preserve">support teams of researchers to pursue collaborative research and develop capacity in </w:t>
            </w:r>
            <w:r>
              <w:rPr>
                <w:rFonts w:asciiTheme="minorHAnsi" w:hAnsiTheme="minorHAnsi" w:cs="Arial"/>
              </w:rPr>
              <w:t>different aspects of the AMR response.</w:t>
            </w:r>
          </w:p>
          <w:p w:rsidR="009E442E" w:rsidRPr="00373F53" w:rsidRDefault="009E442E" w:rsidP="009E442E">
            <w:pPr>
              <w:pStyle w:val="ListParagraph"/>
              <w:numPr>
                <w:ilvl w:val="0"/>
                <w:numId w:val="2"/>
              </w:numPr>
              <w:spacing w:after="120"/>
              <w:rPr>
                <w:rFonts w:asciiTheme="minorHAnsi" w:hAnsiTheme="minorHAnsi"/>
              </w:rPr>
            </w:pPr>
            <w:r w:rsidRPr="00420F48">
              <w:rPr>
                <w:rFonts w:asciiTheme="minorHAnsi" w:hAnsiTheme="minorHAnsi"/>
              </w:rPr>
              <w:t>Macquarie University is conducting key research into mobile genetic elements and resistance gene carriage/construct diversity in urban wildlife and marine vertebrates.</w:t>
            </w:r>
          </w:p>
        </w:tc>
      </w:tr>
      <w:tr w:rsidR="009E442E" w:rsidTr="00A93797">
        <w:tc>
          <w:tcPr>
            <w:tcW w:w="9747" w:type="dxa"/>
            <w:shd w:val="clear" w:color="auto" w:fill="D9D9D9" w:themeFill="background1" w:themeFillShade="D9"/>
          </w:tcPr>
          <w:p w:rsidR="009E442E" w:rsidRPr="00445D1A" w:rsidRDefault="009E442E" w:rsidP="00445D1A">
            <w:pPr>
              <w:pStyle w:val="Heading3"/>
              <w:spacing w:before="120"/>
            </w:pPr>
            <w:r>
              <w:t>International Engagement</w:t>
            </w:r>
          </w:p>
          <w:p w:rsidR="009E442E" w:rsidRPr="00A048F5" w:rsidRDefault="009E442E" w:rsidP="009E442E">
            <w:pPr>
              <w:pStyle w:val="ListParagraph"/>
              <w:numPr>
                <w:ilvl w:val="0"/>
                <w:numId w:val="2"/>
              </w:numPr>
              <w:rPr>
                <w:rFonts w:asciiTheme="minorHAnsi" w:hAnsiTheme="minorHAnsi"/>
              </w:rPr>
            </w:pPr>
            <w:r w:rsidRPr="00373F53">
              <w:rPr>
                <w:rFonts w:asciiTheme="minorHAnsi" w:hAnsiTheme="minorHAnsi"/>
              </w:rPr>
              <w:t>Australia is actively contributing to global AMR initiatives, i</w:t>
            </w:r>
            <w:r>
              <w:rPr>
                <w:rFonts w:asciiTheme="minorHAnsi" w:hAnsiTheme="minorHAnsi"/>
              </w:rPr>
              <w:t xml:space="preserve">ncluding those being led by </w:t>
            </w:r>
            <w:r w:rsidRPr="00373F53">
              <w:rPr>
                <w:rFonts w:asciiTheme="minorHAnsi" w:hAnsiTheme="minorHAnsi"/>
              </w:rPr>
              <w:t>the United Nations General Assembly</w:t>
            </w:r>
            <w:r w:rsidR="00D80D26">
              <w:rPr>
                <w:rFonts w:asciiTheme="minorHAnsi" w:hAnsiTheme="minorHAnsi"/>
              </w:rPr>
              <w:t xml:space="preserve">, </w:t>
            </w:r>
            <w:r w:rsidRPr="00373F53">
              <w:rPr>
                <w:rFonts w:asciiTheme="minorHAnsi" w:hAnsiTheme="minorHAnsi"/>
              </w:rPr>
              <w:t>the G20, the Organi</w:t>
            </w:r>
            <w:r w:rsidR="003E3656">
              <w:rPr>
                <w:rFonts w:asciiTheme="minorHAnsi" w:hAnsiTheme="minorHAnsi"/>
              </w:rPr>
              <w:t>s</w:t>
            </w:r>
            <w:r w:rsidRPr="00373F53">
              <w:rPr>
                <w:rFonts w:asciiTheme="minorHAnsi" w:hAnsiTheme="minorHAnsi"/>
              </w:rPr>
              <w:t>ation for Economic Co</w:t>
            </w:r>
            <w:r w:rsidR="00D80D26">
              <w:rPr>
                <w:rFonts w:asciiTheme="minorHAnsi" w:hAnsiTheme="minorHAnsi"/>
              </w:rPr>
              <w:t>operation and Development</w:t>
            </w:r>
            <w:r w:rsidRPr="00373F53">
              <w:rPr>
                <w:rFonts w:asciiTheme="minorHAnsi" w:hAnsiTheme="minorHAnsi"/>
              </w:rPr>
              <w:t>, the</w:t>
            </w:r>
            <w:r w:rsidR="009C46C8">
              <w:rPr>
                <w:rFonts w:asciiTheme="minorHAnsi" w:hAnsiTheme="minorHAnsi"/>
              </w:rPr>
              <w:t xml:space="preserve"> Global Health Security Agenda</w:t>
            </w:r>
            <w:r w:rsidRPr="00373F53">
              <w:rPr>
                <w:rFonts w:asciiTheme="minorHAnsi" w:hAnsiTheme="minorHAnsi"/>
              </w:rPr>
              <w:t xml:space="preserve"> and through the tripartite </w:t>
            </w:r>
            <w:r>
              <w:rPr>
                <w:rFonts w:asciiTheme="minorHAnsi" w:hAnsiTheme="minorHAnsi"/>
              </w:rPr>
              <w:t xml:space="preserve">partnership of the </w:t>
            </w:r>
            <w:r w:rsidRPr="00373F53">
              <w:rPr>
                <w:rFonts w:asciiTheme="minorHAnsi" w:hAnsiTheme="minorHAnsi"/>
              </w:rPr>
              <w:t>World Health Organization, World</w:t>
            </w:r>
            <w:r w:rsidR="00D80D26">
              <w:rPr>
                <w:rFonts w:asciiTheme="minorHAnsi" w:hAnsiTheme="minorHAnsi"/>
              </w:rPr>
              <w:t xml:space="preserve"> Organisation for Animal Health</w:t>
            </w:r>
            <w:r w:rsidRPr="00373F53">
              <w:rPr>
                <w:rFonts w:asciiTheme="minorHAnsi" w:hAnsiTheme="minorHAnsi"/>
              </w:rPr>
              <w:t>, and Food and Agriculture Organization of the United Nations.</w:t>
            </w:r>
          </w:p>
          <w:p w:rsidR="009E442E" w:rsidRPr="00EB09B4" w:rsidRDefault="009E442E" w:rsidP="009E442E">
            <w:pPr>
              <w:pStyle w:val="ListParagraph"/>
              <w:numPr>
                <w:ilvl w:val="0"/>
                <w:numId w:val="2"/>
              </w:numPr>
              <w:rPr>
                <w:rFonts w:asciiTheme="minorHAnsi" w:hAnsiTheme="minorHAnsi"/>
              </w:rPr>
            </w:pPr>
            <w:r w:rsidRPr="00373F53">
              <w:rPr>
                <w:rFonts w:asciiTheme="minorHAnsi" w:hAnsiTheme="minorHAnsi"/>
              </w:rPr>
              <w:t xml:space="preserve">Australia </w:t>
            </w:r>
            <w:r>
              <w:rPr>
                <w:rFonts w:asciiTheme="minorHAnsi" w:hAnsiTheme="minorHAnsi"/>
              </w:rPr>
              <w:t xml:space="preserve">continues to </w:t>
            </w:r>
            <w:r w:rsidR="00E6779A">
              <w:rPr>
                <w:rFonts w:asciiTheme="minorHAnsi" w:hAnsiTheme="minorHAnsi"/>
              </w:rPr>
              <w:t xml:space="preserve">actively </w:t>
            </w:r>
            <w:r>
              <w:rPr>
                <w:rFonts w:asciiTheme="minorHAnsi" w:hAnsiTheme="minorHAnsi"/>
              </w:rPr>
              <w:t xml:space="preserve">support </w:t>
            </w:r>
            <w:r w:rsidR="009C46C8">
              <w:rPr>
                <w:rFonts w:asciiTheme="minorHAnsi" w:hAnsiTheme="minorHAnsi"/>
              </w:rPr>
              <w:t>the implementation of the</w:t>
            </w:r>
            <w:r w:rsidR="00CA5473">
              <w:rPr>
                <w:rFonts w:asciiTheme="minorHAnsi" w:hAnsiTheme="minorHAnsi"/>
              </w:rPr>
              <w:t xml:space="preserve"> WHO</w:t>
            </w:r>
            <w:r w:rsidR="00CA5473" w:rsidRPr="00373F53">
              <w:rPr>
                <w:rFonts w:asciiTheme="minorHAnsi" w:hAnsiTheme="minorHAnsi"/>
              </w:rPr>
              <w:t xml:space="preserve"> </w:t>
            </w:r>
            <w:r w:rsidR="00CA5473" w:rsidRPr="00373F53">
              <w:rPr>
                <w:rFonts w:asciiTheme="minorHAnsi" w:hAnsiTheme="minorHAnsi"/>
                <w:i/>
              </w:rPr>
              <w:t xml:space="preserve">Global Action Plan </w:t>
            </w:r>
            <w:r w:rsidR="00EB09B4">
              <w:rPr>
                <w:rFonts w:asciiTheme="minorHAnsi" w:hAnsiTheme="minorHAnsi"/>
                <w:i/>
              </w:rPr>
              <w:t xml:space="preserve">(GAP) </w:t>
            </w:r>
            <w:r w:rsidR="00CA5473" w:rsidRPr="00373F53">
              <w:rPr>
                <w:rFonts w:asciiTheme="minorHAnsi" w:hAnsiTheme="minorHAnsi"/>
                <w:i/>
              </w:rPr>
              <w:t xml:space="preserve">on </w:t>
            </w:r>
            <w:r w:rsidR="009C46C8" w:rsidRPr="00373F53">
              <w:rPr>
                <w:rFonts w:asciiTheme="minorHAnsi" w:hAnsiTheme="minorHAnsi"/>
                <w:i/>
              </w:rPr>
              <w:t>AMR</w:t>
            </w:r>
            <w:r>
              <w:rPr>
                <w:rFonts w:asciiTheme="minorHAnsi" w:hAnsiTheme="minorHAnsi"/>
              </w:rPr>
              <w:t xml:space="preserve">. Australia </w:t>
            </w:r>
            <w:r w:rsidR="00EB09B4">
              <w:rPr>
                <w:rFonts w:asciiTheme="minorHAnsi" w:hAnsiTheme="minorHAnsi"/>
              </w:rPr>
              <w:t>regularly contributes to the establishment of GAP initiatives, such as the monitoring and evaluation framework, and the global development and stewardship framework.</w:t>
            </w:r>
          </w:p>
          <w:p w:rsidR="009E442E" w:rsidRPr="00EB09B4" w:rsidRDefault="009E442E" w:rsidP="009E442E">
            <w:pPr>
              <w:pStyle w:val="ListParagraph"/>
              <w:numPr>
                <w:ilvl w:val="0"/>
                <w:numId w:val="2"/>
              </w:numPr>
              <w:rPr>
                <w:rFonts w:asciiTheme="minorHAnsi" w:hAnsiTheme="minorHAnsi"/>
              </w:rPr>
            </w:pPr>
            <w:r w:rsidRPr="00EB09B4">
              <w:rPr>
                <w:rFonts w:asciiTheme="minorHAnsi" w:hAnsiTheme="minorHAnsi"/>
              </w:rPr>
              <w:t>Australia is also contributing to the Codex physical working group on AMR and its two AMR projects being undertaken by working groups.</w:t>
            </w:r>
          </w:p>
          <w:p w:rsidR="009E442E" w:rsidRDefault="009E442E" w:rsidP="009E442E">
            <w:pPr>
              <w:pStyle w:val="ListParagraph"/>
              <w:numPr>
                <w:ilvl w:val="0"/>
                <w:numId w:val="2"/>
              </w:numPr>
              <w:rPr>
                <w:rFonts w:asciiTheme="minorHAnsi" w:hAnsiTheme="minorHAnsi" w:cs="Arial"/>
              </w:rPr>
            </w:pPr>
            <w:r>
              <w:rPr>
                <w:rFonts w:asciiTheme="minorHAnsi" w:hAnsiTheme="minorHAnsi" w:cs="Arial"/>
              </w:rPr>
              <w:t xml:space="preserve">Australia is contributing regionally to animal health. For example, the School of Veterinary Science at The University of Queensland has partnered with research institutes to support the advancement of antimicrobial stewardship practices in livestock-producing </w:t>
            </w:r>
            <w:r>
              <w:rPr>
                <w:rFonts w:asciiTheme="minorHAnsi" w:hAnsiTheme="minorHAnsi" w:cs="Arial"/>
              </w:rPr>
              <w:lastRenderedPageBreak/>
              <w:t>communities in Vietnam and the identification of antimicrobial usage and AMR in integrated chicken-fish farms in Myanmar.</w:t>
            </w:r>
          </w:p>
          <w:p w:rsidR="00D80D26" w:rsidRPr="00AB27F5" w:rsidRDefault="009E442E" w:rsidP="00AB27F5">
            <w:pPr>
              <w:pStyle w:val="ListParagraph"/>
              <w:numPr>
                <w:ilvl w:val="0"/>
                <w:numId w:val="2"/>
              </w:numPr>
              <w:spacing w:after="120"/>
              <w:rPr>
                <w:rFonts w:asciiTheme="minorHAnsi" w:hAnsiTheme="minorHAnsi" w:cs="Arial"/>
                <w:b/>
              </w:rPr>
            </w:pPr>
            <w:r w:rsidRPr="00373F53">
              <w:rPr>
                <w:rFonts w:asciiTheme="minorHAnsi" w:hAnsiTheme="minorHAnsi" w:cs="Arial"/>
              </w:rPr>
              <w:t xml:space="preserve">In late 2017, Australia will be undertaking a self-assessment and external evaluation of its implementation of the core capacities established under the </w:t>
            </w:r>
            <w:r w:rsidRPr="00373F53">
              <w:rPr>
                <w:rFonts w:asciiTheme="minorHAnsi" w:hAnsiTheme="minorHAnsi" w:cs="Arial"/>
                <w:i/>
              </w:rPr>
              <w:t>International Health Regulations 2005</w:t>
            </w:r>
            <w:r w:rsidRPr="00373F53">
              <w:rPr>
                <w:rFonts w:asciiTheme="minorHAnsi" w:hAnsiTheme="minorHAnsi" w:cs="Arial"/>
              </w:rPr>
              <w:t xml:space="preserve"> (IHRs)</w:t>
            </w:r>
            <w:r>
              <w:rPr>
                <w:rFonts w:asciiTheme="minorHAnsi" w:hAnsiTheme="minorHAnsi" w:cs="Arial"/>
              </w:rPr>
              <w:t xml:space="preserve"> </w:t>
            </w:r>
            <w:r w:rsidR="00EB09B4">
              <w:rPr>
                <w:rFonts w:asciiTheme="minorHAnsi" w:hAnsiTheme="minorHAnsi" w:cs="Arial"/>
              </w:rPr>
              <w:t>through</w:t>
            </w:r>
            <w:r>
              <w:rPr>
                <w:rFonts w:asciiTheme="minorHAnsi" w:hAnsiTheme="minorHAnsi" w:cs="Arial"/>
              </w:rPr>
              <w:t xml:space="preserve"> the Joint External Evaluation (JEE) process</w:t>
            </w:r>
            <w:r w:rsidRPr="00373F53">
              <w:rPr>
                <w:rFonts w:asciiTheme="minorHAnsi" w:hAnsiTheme="minorHAnsi" w:cs="Arial"/>
              </w:rPr>
              <w:t>. AMR is one of a suite of 19</w:t>
            </w:r>
            <w:r>
              <w:rPr>
                <w:rFonts w:asciiTheme="minorHAnsi" w:hAnsiTheme="minorHAnsi" w:cs="Arial"/>
              </w:rPr>
              <w:t xml:space="preserve"> </w:t>
            </w:r>
            <w:r w:rsidRPr="00373F53">
              <w:rPr>
                <w:rFonts w:asciiTheme="minorHAnsi" w:hAnsiTheme="minorHAnsi" w:cs="Arial"/>
              </w:rPr>
              <w:t>capacities being assessed</w:t>
            </w:r>
            <w:r>
              <w:rPr>
                <w:rFonts w:asciiTheme="minorHAnsi" w:hAnsiTheme="minorHAnsi" w:cs="Arial"/>
              </w:rPr>
              <w:t>.</w:t>
            </w:r>
            <w:r w:rsidRPr="00373F53">
              <w:rPr>
                <w:rFonts w:asciiTheme="minorHAnsi" w:hAnsiTheme="minorHAnsi" w:cs="Arial"/>
              </w:rPr>
              <w:t xml:space="preserve"> The external evaluation will allow Australia to identify the most urgent needs within its health security system, including for its AMR response.</w:t>
            </w:r>
          </w:p>
        </w:tc>
      </w:tr>
      <w:tr w:rsidR="009E442E" w:rsidTr="00A93797">
        <w:tc>
          <w:tcPr>
            <w:tcW w:w="9747" w:type="dxa"/>
            <w:shd w:val="clear" w:color="auto" w:fill="D9D9D9" w:themeFill="background1" w:themeFillShade="D9"/>
          </w:tcPr>
          <w:p w:rsidR="009E442E" w:rsidRPr="00445D1A" w:rsidRDefault="009E442E" w:rsidP="00445D1A">
            <w:pPr>
              <w:pStyle w:val="Heading3"/>
              <w:spacing w:before="120"/>
            </w:pPr>
            <w:r>
              <w:lastRenderedPageBreak/>
              <w:t>Governance</w:t>
            </w:r>
          </w:p>
          <w:p w:rsidR="009E442E" w:rsidRPr="00F37934" w:rsidRDefault="009E442E" w:rsidP="00600939">
            <w:pPr>
              <w:pStyle w:val="ListParagraph"/>
              <w:numPr>
                <w:ilvl w:val="0"/>
                <w:numId w:val="2"/>
              </w:numPr>
              <w:rPr>
                <w:rFonts w:asciiTheme="minorHAnsi" w:hAnsiTheme="minorHAnsi" w:cs="Arial"/>
              </w:rPr>
            </w:pPr>
            <w:r w:rsidRPr="00C579B6">
              <w:rPr>
                <w:rFonts w:asciiTheme="minorHAnsi" w:hAnsiTheme="minorHAnsi" w:cs="Arial"/>
              </w:rPr>
              <w:t xml:space="preserve">The Antimicrobial Resistance Prevention and Containment Steering Group (the Steering Group), </w:t>
            </w:r>
            <w:r>
              <w:rPr>
                <w:rFonts w:asciiTheme="minorHAnsi" w:hAnsiTheme="minorHAnsi" w:cs="Arial"/>
              </w:rPr>
              <w:t xml:space="preserve">previously </w:t>
            </w:r>
            <w:r w:rsidRPr="00C579B6">
              <w:rPr>
                <w:rFonts w:asciiTheme="minorHAnsi" w:hAnsiTheme="minorHAnsi" w:cs="Arial"/>
              </w:rPr>
              <w:t xml:space="preserve">headed by the Secretaries of the </w:t>
            </w:r>
            <w:r w:rsidR="00600939">
              <w:rPr>
                <w:rFonts w:asciiTheme="minorHAnsi" w:hAnsiTheme="minorHAnsi" w:cs="Arial"/>
              </w:rPr>
              <w:t>d</w:t>
            </w:r>
            <w:r w:rsidRPr="00C579B6">
              <w:rPr>
                <w:rFonts w:asciiTheme="minorHAnsi" w:hAnsiTheme="minorHAnsi" w:cs="Arial"/>
              </w:rPr>
              <w:t>epartments of Health and Agriculture and Water Resources, with the Australian Chief Medical Officer (CMO) and Chief Veterinary Officer (CVO) has convened to provide leadership on AMR and oversee the development and implementation of the Strategy.</w:t>
            </w:r>
          </w:p>
          <w:p w:rsidR="00C22ACE" w:rsidRPr="00600939" w:rsidRDefault="009E442E" w:rsidP="009E442E">
            <w:pPr>
              <w:pStyle w:val="ListParagraph"/>
              <w:numPr>
                <w:ilvl w:val="0"/>
                <w:numId w:val="2"/>
              </w:numPr>
              <w:spacing w:after="120"/>
              <w:rPr>
                <w:rFonts w:asciiTheme="minorHAnsi" w:hAnsiTheme="minorHAnsi"/>
              </w:rPr>
            </w:pPr>
            <w:r w:rsidRPr="00600939">
              <w:rPr>
                <w:rFonts w:asciiTheme="minorHAnsi" w:hAnsiTheme="minorHAnsi"/>
              </w:rPr>
              <w:t>The Australian Strategic and Technical Advisory Group on AMR (ASTAG), consisting of representatives from across the animal and human health, food and agriculture sectors, the Australian Government and state and territory governments, has been instrumental in providing expert advice to inform the implementation of the Strategy and in establishing important links with key organisations and groups to support a collaborative One Health approach to Australia’s response.</w:t>
            </w:r>
          </w:p>
          <w:p w:rsidR="00245004" w:rsidRPr="00600939" w:rsidRDefault="00245004" w:rsidP="00245004">
            <w:pPr>
              <w:pStyle w:val="ListParagraph"/>
              <w:numPr>
                <w:ilvl w:val="0"/>
                <w:numId w:val="2"/>
              </w:numPr>
              <w:spacing w:after="120"/>
              <w:rPr>
                <w:rFonts w:asciiTheme="minorHAnsi" w:hAnsiTheme="minorHAnsi"/>
              </w:rPr>
            </w:pPr>
            <w:r w:rsidRPr="00245004">
              <w:rPr>
                <w:rFonts w:asciiTheme="minorHAnsi" w:hAnsiTheme="minorHAnsi"/>
              </w:rPr>
              <w:t>T</w:t>
            </w:r>
            <w:r w:rsidRPr="00600939">
              <w:rPr>
                <w:rFonts w:asciiTheme="minorHAnsi" w:hAnsiTheme="minorHAnsi"/>
              </w:rPr>
              <w:t xml:space="preserve">he Australian Government released the </w:t>
            </w:r>
            <w:r w:rsidR="00600939">
              <w:rPr>
                <w:rFonts w:asciiTheme="minorHAnsi" w:hAnsiTheme="minorHAnsi"/>
              </w:rPr>
              <w:t xml:space="preserve">Strategy </w:t>
            </w:r>
            <w:r w:rsidRPr="00600939">
              <w:rPr>
                <w:rFonts w:asciiTheme="minorHAnsi" w:hAnsiTheme="minorHAnsi"/>
              </w:rPr>
              <w:t>Implementation Plan in November 2016. The Implementation Plan supports the National AMR Strategy, and guides and enables collaboration of stakeholders on the immediate focus areas for activity in Australia to limit antimicrobial resistance.</w:t>
            </w:r>
          </w:p>
          <w:p w:rsidR="009E442E" w:rsidRPr="00245004" w:rsidRDefault="00C22ACE" w:rsidP="00245004">
            <w:pPr>
              <w:pStyle w:val="ListParagraph"/>
              <w:numPr>
                <w:ilvl w:val="0"/>
                <w:numId w:val="2"/>
              </w:numPr>
              <w:spacing w:after="120"/>
              <w:rPr>
                <w:rFonts w:asciiTheme="minorHAnsi" w:hAnsiTheme="minorHAnsi"/>
                <w:i/>
              </w:rPr>
            </w:pPr>
            <w:r w:rsidRPr="00245004">
              <w:rPr>
                <w:rFonts w:asciiTheme="minorHAnsi" w:hAnsiTheme="minorHAnsi"/>
              </w:rPr>
              <w:t xml:space="preserve">The Department of Agriculture and Water Resources </w:t>
            </w:r>
            <w:r w:rsidR="001377A6" w:rsidRPr="00245004">
              <w:rPr>
                <w:rFonts w:asciiTheme="minorHAnsi" w:hAnsiTheme="minorHAnsi"/>
              </w:rPr>
              <w:t xml:space="preserve">is working with senior state and territory officials on a number of potential reforms to </w:t>
            </w:r>
            <w:r w:rsidR="00600939">
              <w:rPr>
                <w:rFonts w:asciiTheme="minorHAnsi" w:hAnsiTheme="minorHAnsi"/>
              </w:rPr>
              <w:t xml:space="preserve">agricultural and veterinary </w:t>
            </w:r>
            <w:r w:rsidR="00866C9C">
              <w:rPr>
                <w:rFonts w:asciiTheme="minorHAnsi" w:hAnsiTheme="minorHAnsi"/>
              </w:rPr>
              <w:t xml:space="preserve">chemicals </w:t>
            </w:r>
            <w:r w:rsidR="001377A6" w:rsidRPr="00245004">
              <w:rPr>
                <w:rFonts w:asciiTheme="minorHAnsi" w:hAnsiTheme="minorHAnsi"/>
              </w:rPr>
              <w:t>control-of-use regulation</w:t>
            </w:r>
            <w:r w:rsidR="00866C9C">
              <w:rPr>
                <w:rFonts w:asciiTheme="minorHAnsi" w:hAnsiTheme="minorHAnsi"/>
              </w:rPr>
              <w:t>s</w:t>
            </w:r>
            <w:r w:rsidR="001377A6" w:rsidRPr="00245004">
              <w:rPr>
                <w:rFonts w:asciiTheme="minorHAnsi" w:hAnsiTheme="minorHAnsi"/>
              </w:rPr>
              <w:t>, such as nationally-harmonised minimum training, licensing and record keeping requirements, as well as veterinary prescribing and compounding rights. The Australian Government will continue to encourage national coordination of these matters.</w:t>
            </w:r>
          </w:p>
        </w:tc>
      </w:tr>
    </w:tbl>
    <w:p w:rsidR="009E442E" w:rsidRPr="00585209" w:rsidRDefault="009E442E" w:rsidP="00585209">
      <w:pPr>
        <w:tabs>
          <w:tab w:val="left" w:pos="3985"/>
        </w:tabs>
        <w:rPr>
          <w:rFonts w:asciiTheme="minorHAnsi" w:hAnsiTheme="minorHAnsi"/>
        </w:rPr>
      </w:pPr>
    </w:p>
    <w:sectPr w:rsidR="009E442E" w:rsidRPr="00585209" w:rsidSect="00FF5863">
      <w:footerReference w:type="default" r:id="rId27"/>
      <w:pgSz w:w="11906" w:h="16838"/>
      <w:pgMar w:top="1440" w:right="1440" w:bottom="1440" w:left="1440" w:header="709" w:footer="709" w:gutter="0"/>
      <w:pgNumType w:start="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D23534" w15:done="0"/>
  <w15:commentEx w15:paraId="2B0E1B2E" w15:done="0"/>
  <w15:commentEx w15:paraId="280E4704" w15:done="0"/>
  <w15:commentEx w15:paraId="0E4E19C0" w15:done="0"/>
  <w15:commentEx w15:paraId="04871A84" w15:done="0"/>
  <w15:commentEx w15:paraId="67F07204" w15:done="0"/>
  <w15:commentEx w15:paraId="34E0BD39" w15:paraIdParent="67F07204" w15:done="0"/>
  <w15:commentEx w15:paraId="5C6F1661" w15:done="0"/>
  <w15:commentEx w15:paraId="0571B4A4" w15:done="0"/>
  <w15:commentEx w15:paraId="139D0717" w15:done="0"/>
  <w15:commentEx w15:paraId="330C7FFE" w15:done="0"/>
  <w15:commentEx w15:paraId="7EB05218" w15:done="0"/>
  <w15:commentEx w15:paraId="6E15CABC" w15:done="0"/>
  <w15:commentEx w15:paraId="1E2F04F0" w15:done="0"/>
  <w15:commentEx w15:paraId="72837163" w15:done="0"/>
  <w15:commentEx w15:paraId="7082DB92" w15:done="0"/>
  <w15:commentEx w15:paraId="3B270211" w15:done="0"/>
  <w15:commentEx w15:paraId="61A5BCB6" w15:done="0"/>
  <w15:commentEx w15:paraId="74B812FE" w15:done="0"/>
  <w15:commentEx w15:paraId="706EE215" w15:done="0"/>
  <w15:commentEx w15:paraId="6577E393" w15:done="0"/>
  <w15:commentEx w15:paraId="0BBA7F26" w15:done="0"/>
  <w15:commentEx w15:paraId="13855CFA" w15:paraIdParent="0BBA7F26" w15:done="0"/>
  <w15:commentEx w15:paraId="6D614E90" w15:done="0"/>
  <w15:commentEx w15:paraId="6D068D59" w15:done="0"/>
  <w15:commentEx w15:paraId="07D223BD" w15:paraIdParent="6D068D59" w15:done="0"/>
  <w15:commentEx w15:paraId="333E2A58" w15:done="0"/>
  <w15:commentEx w15:paraId="6850A1D1" w15:done="0"/>
  <w15:commentEx w15:paraId="66B5F5BE" w15:paraIdParent="6850A1D1" w15:done="0"/>
  <w15:commentEx w15:paraId="30316055" w15:done="0"/>
  <w15:commentEx w15:paraId="1EF095B4" w15:done="0"/>
  <w15:commentEx w15:paraId="64B19686" w15:paraIdParent="1EF095B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660" w:rsidRDefault="00422660" w:rsidP="00D96A4E">
      <w:r>
        <w:separator/>
      </w:r>
    </w:p>
  </w:endnote>
  <w:endnote w:type="continuationSeparator" w:id="0">
    <w:p w:rsidR="00422660" w:rsidRDefault="00422660" w:rsidP="00D9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tique Olive CE">
    <w:altName w:val="Times New Roman"/>
    <w:panose1 w:val="00000000000000000000"/>
    <w:charset w:val="4D"/>
    <w:family w:val="swiss"/>
    <w:notTrueType/>
    <w:pitch w:val="default"/>
    <w:sig w:usb0="00000003" w:usb1="00000000" w:usb2="00000000" w:usb3="00000000" w:csb0="00000001" w:csb1="00000000"/>
  </w:font>
  <w:font w:name="GothamNarrow-Light16">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272392"/>
      <w:docPartObj>
        <w:docPartGallery w:val="Page Numbers (Bottom of Page)"/>
        <w:docPartUnique/>
      </w:docPartObj>
    </w:sdtPr>
    <w:sdtEndPr>
      <w:rPr>
        <w:rFonts w:asciiTheme="minorHAnsi" w:hAnsiTheme="minorHAnsi"/>
        <w:noProof/>
      </w:rPr>
    </w:sdtEndPr>
    <w:sdtContent>
      <w:p w:rsidR="00422660" w:rsidRPr="007D68D2" w:rsidRDefault="00422660">
        <w:pPr>
          <w:pStyle w:val="Footer"/>
          <w:jc w:val="right"/>
          <w:rPr>
            <w:rFonts w:asciiTheme="minorHAnsi" w:hAnsiTheme="minorHAnsi"/>
          </w:rPr>
        </w:pPr>
        <w:r w:rsidRPr="007D68D2">
          <w:rPr>
            <w:rFonts w:asciiTheme="minorHAnsi" w:hAnsiTheme="minorHAnsi"/>
          </w:rPr>
          <w:fldChar w:fldCharType="begin"/>
        </w:r>
        <w:r w:rsidRPr="007D68D2">
          <w:rPr>
            <w:rFonts w:asciiTheme="minorHAnsi" w:hAnsiTheme="minorHAnsi"/>
          </w:rPr>
          <w:instrText xml:space="preserve"> PAGE   \* MERGEFORMAT </w:instrText>
        </w:r>
        <w:r w:rsidRPr="007D68D2">
          <w:rPr>
            <w:rFonts w:asciiTheme="minorHAnsi" w:hAnsiTheme="minorHAnsi"/>
          </w:rPr>
          <w:fldChar w:fldCharType="separate"/>
        </w:r>
        <w:r w:rsidR="00445D1A">
          <w:rPr>
            <w:rFonts w:asciiTheme="minorHAnsi" w:hAnsiTheme="minorHAnsi"/>
            <w:noProof/>
          </w:rPr>
          <w:t>24</w:t>
        </w:r>
        <w:r w:rsidRPr="007D68D2">
          <w:rPr>
            <w:rFonts w:asciiTheme="minorHAnsi" w:hAnsiTheme="minorHAnsi"/>
            <w:noProof/>
          </w:rPr>
          <w:fldChar w:fldCharType="end"/>
        </w:r>
      </w:p>
    </w:sdtContent>
  </w:sdt>
  <w:p w:rsidR="00422660" w:rsidRDefault="00422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660" w:rsidRDefault="00422660" w:rsidP="00D96A4E">
      <w:r>
        <w:separator/>
      </w:r>
    </w:p>
  </w:footnote>
  <w:footnote w:type="continuationSeparator" w:id="0">
    <w:p w:rsidR="00422660" w:rsidRDefault="00422660" w:rsidP="00D96A4E">
      <w:r>
        <w:continuationSeparator/>
      </w:r>
    </w:p>
  </w:footnote>
  <w:footnote w:id="1">
    <w:p w:rsidR="00422660" w:rsidRDefault="00422660" w:rsidP="000668D3">
      <w:pPr>
        <w:pStyle w:val="FootnoteText"/>
      </w:pPr>
      <w:r w:rsidRPr="00B322D5">
        <w:rPr>
          <w:rStyle w:val="FootnoteReference"/>
          <w:rFonts w:ascii="Arial" w:hAnsi="Arial" w:cs="Arial"/>
          <w:sz w:val="16"/>
        </w:rPr>
        <w:footnoteRef/>
      </w:r>
      <w:r w:rsidRPr="00B66378">
        <w:rPr>
          <w:sz w:val="16"/>
        </w:rPr>
        <w:t xml:space="preserve"> </w:t>
      </w:r>
      <w:r w:rsidRPr="00B66378">
        <w:rPr>
          <w:rFonts w:ascii="Arial" w:hAnsi="Arial" w:cs="Arial"/>
          <w:sz w:val="16"/>
        </w:rPr>
        <w:t>Degeling C, Johnson J, Ired</w:t>
      </w:r>
      <w:r>
        <w:rPr>
          <w:rFonts w:ascii="Arial" w:hAnsi="Arial" w:cs="Arial"/>
          <w:sz w:val="16"/>
        </w:rPr>
        <w:t>e</w:t>
      </w:r>
      <w:r w:rsidRPr="00B66378">
        <w:rPr>
          <w:rFonts w:ascii="Arial" w:hAnsi="Arial" w:cs="Arial"/>
          <w:sz w:val="16"/>
        </w:rPr>
        <w:t>ll J, Nguyen KA, Norris JM, Turnidge JD, Da</w:t>
      </w:r>
      <w:r>
        <w:rPr>
          <w:rFonts w:ascii="Arial" w:hAnsi="Arial" w:cs="Arial"/>
          <w:sz w:val="16"/>
        </w:rPr>
        <w:t>w</w:t>
      </w:r>
      <w:r w:rsidRPr="00B66378">
        <w:rPr>
          <w:rFonts w:ascii="Arial" w:hAnsi="Arial" w:cs="Arial"/>
          <w:sz w:val="16"/>
        </w:rPr>
        <w:t>son A, Carter S, Gilbert GL</w:t>
      </w:r>
      <w:r w:rsidRPr="00C45E29">
        <w:rPr>
          <w:rFonts w:ascii="Arial" w:hAnsi="Arial" w:cs="Arial"/>
          <w:sz w:val="16"/>
        </w:rPr>
        <w:t>. (2017)</w:t>
      </w:r>
      <w:r w:rsidRPr="00B66378">
        <w:rPr>
          <w:rFonts w:ascii="Arial" w:hAnsi="Arial" w:cs="Arial"/>
          <w:sz w:val="16"/>
        </w:rPr>
        <w:t xml:space="preserve"> Assessing the public acceptability of proposed policy interventions to reduce the misuse of antibiotics in Australia: A report on two community juries. </w:t>
      </w:r>
      <w:r w:rsidRPr="00B66378">
        <w:rPr>
          <w:rFonts w:ascii="Arial" w:hAnsi="Arial" w:cs="Arial"/>
          <w:i/>
          <w:sz w:val="16"/>
        </w:rPr>
        <w:t xml:space="preserve">Health Expectations </w:t>
      </w:r>
      <w:r w:rsidRPr="00B66378">
        <w:rPr>
          <w:rFonts w:ascii="Arial" w:hAnsi="Arial" w:cs="Arial"/>
          <w:sz w:val="16"/>
        </w:rPr>
        <w:t>DOI: 10.1111/hex.12589</w:t>
      </w:r>
      <w:r>
        <w:rPr>
          <w:rFonts w:ascii="Arial" w:hAnsi="Arial" w:cs="Arial"/>
          <w:sz w:val="16"/>
        </w:rPr>
        <w:t>; 30 June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5E2D8A"/>
    <w:lvl w:ilvl="0">
      <w:start w:val="1"/>
      <w:numFmt w:val="bullet"/>
      <w:pStyle w:val="ListBullet"/>
      <w:lvlText w:val=""/>
      <w:lvlJc w:val="left"/>
      <w:pPr>
        <w:ind w:left="644" w:hanging="360"/>
      </w:pPr>
      <w:rPr>
        <w:rFonts w:ascii="Symbol" w:hAnsi="Symbol" w:hint="default"/>
        <w:color w:val="9E1D20"/>
      </w:rPr>
    </w:lvl>
  </w:abstractNum>
  <w:abstractNum w:abstractNumId="1">
    <w:nsid w:val="04E9035F"/>
    <w:multiLevelType w:val="hybridMultilevel"/>
    <w:tmpl w:val="023050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6751F7"/>
    <w:multiLevelType w:val="hybridMultilevel"/>
    <w:tmpl w:val="7FA675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B101C87"/>
    <w:multiLevelType w:val="hybridMultilevel"/>
    <w:tmpl w:val="3B92A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363FA5"/>
    <w:multiLevelType w:val="hybridMultilevel"/>
    <w:tmpl w:val="BDCE0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1603C0D"/>
    <w:multiLevelType w:val="hybridMultilevel"/>
    <w:tmpl w:val="FD1A5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32A6A12"/>
    <w:multiLevelType w:val="hybridMultilevel"/>
    <w:tmpl w:val="C1CE7F32"/>
    <w:lvl w:ilvl="0" w:tplc="D8E8E7EA">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nsid w:val="14F11E20"/>
    <w:multiLevelType w:val="hybridMultilevel"/>
    <w:tmpl w:val="C63227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6C11651"/>
    <w:multiLevelType w:val="hybridMultilevel"/>
    <w:tmpl w:val="9DECE49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19370CC4"/>
    <w:multiLevelType w:val="hybridMultilevel"/>
    <w:tmpl w:val="F36040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B843FAD"/>
    <w:multiLevelType w:val="hybridMultilevel"/>
    <w:tmpl w:val="05C6F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C521A09"/>
    <w:multiLevelType w:val="hybridMultilevel"/>
    <w:tmpl w:val="CAE8C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ED4585C"/>
    <w:multiLevelType w:val="hybridMultilevel"/>
    <w:tmpl w:val="F7CC0B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5C956F6"/>
    <w:multiLevelType w:val="hybridMultilevel"/>
    <w:tmpl w:val="BFA016F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2BBC74C9"/>
    <w:multiLevelType w:val="hybridMultilevel"/>
    <w:tmpl w:val="20B878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32E40AF2"/>
    <w:multiLevelType w:val="hybridMultilevel"/>
    <w:tmpl w:val="D69E1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3BF6BD3"/>
    <w:multiLevelType w:val="hybridMultilevel"/>
    <w:tmpl w:val="C1E06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7991B45"/>
    <w:multiLevelType w:val="hybridMultilevel"/>
    <w:tmpl w:val="4322D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5BC6F11"/>
    <w:multiLevelType w:val="hybridMultilevel"/>
    <w:tmpl w:val="89B8FE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6C000F8"/>
    <w:multiLevelType w:val="hybridMultilevel"/>
    <w:tmpl w:val="D1625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5344FD"/>
    <w:multiLevelType w:val="hybridMultilevel"/>
    <w:tmpl w:val="F6CC8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642D9"/>
    <w:multiLevelType w:val="hybridMultilevel"/>
    <w:tmpl w:val="7B0AD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132389F"/>
    <w:multiLevelType w:val="hybridMultilevel"/>
    <w:tmpl w:val="459CE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3D30B1B"/>
    <w:multiLevelType w:val="hybridMultilevel"/>
    <w:tmpl w:val="600E80F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88666BA"/>
    <w:multiLevelType w:val="hybridMultilevel"/>
    <w:tmpl w:val="D24AD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5913451"/>
    <w:multiLevelType w:val="hybridMultilevel"/>
    <w:tmpl w:val="0990474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8E73D2A"/>
    <w:multiLevelType w:val="hybridMultilevel"/>
    <w:tmpl w:val="6A3AC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E260220"/>
    <w:multiLevelType w:val="hybridMultilevel"/>
    <w:tmpl w:val="0B9E1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32E7661"/>
    <w:multiLevelType w:val="hybridMultilevel"/>
    <w:tmpl w:val="4274EA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77220C5"/>
    <w:multiLevelType w:val="hybridMultilevel"/>
    <w:tmpl w:val="D550E3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CA63768"/>
    <w:multiLevelType w:val="hybridMultilevel"/>
    <w:tmpl w:val="BB8A2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2"/>
  </w:num>
  <w:num w:numId="4">
    <w:abstractNumId w:val="28"/>
  </w:num>
  <w:num w:numId="5">
    <w:abstractNumId w:val="13"/>
  </w:num>
  <w:num w:numId="6">
    <w:abstractNumId w:val="4"/>
  </w:num>
  <w:num w:numId="7">
    <w:abstractNumId w:val="1"/>
  </w:num>
  <w:num w:numId="8">
    <w:abstractNumId w:val="10"/>
  </w:num>
  <w:num w:numId="9">
    <w:abstractNumId w:val="3"/>
  </w:num>
  <w:num w:numId="10">
    <w:abstractNumId w:val="25"/>
  </w:num>
  <w:num w:numId="11">
    <w:abstractNumId w:val="27"/>
  </w:num>
  <w:num w:numId="12">
    <w:abstractNumId w:val="16"/>
  </w:num>
  <w:num w:numId="13">
    <w:abstractNumId w:val="9"/>
  </w:num>
  <w:num w:numId="14">
    <w:abstractNumId w:val="20"/>
  </w:num>
  <w:num w:numId="15">
    <w:abstractNumId w:val="24"/>
  </w:num>
  <w:num w:numId="16">
    <w:abstractNumId w:val="30"/>
  </w:num>
  <w:num w:numId="17">
    <w:abstractNumId w:val="21"/>
  </w:num>
  <w:num w:numId="18">
    <w:abstractNumId w:val="26"/>
  </w:num>
  <w:num w:numId="19">
    <w:abstractNumId w:val="12"/>
  </w:num>
  <w:num w:numId="20">
    <w:abstractNumId w:val="29"/>
  </w:num>
  <w:num w:numId="21">
    <w:abstractNumId w:val="18"/>
  </w:num>
  <w:num w:numId="22">
    <w:abstractNumId w:val="7"/>
  </w:num>
  <w:num w:numId="23">
    <w:abstractNumId w:val="11"/>
  </w:num>
  <w:num w:numId="24">
    <w:abstractNumId w:val="19"/>
  </w:num>
  <w:num w:numId="25">
    <w:abstractNumId w:val="14"/>
  </w:num>
  <w:num w:numId="26">
    <w:abstractNumId w:val="23"/>
  </w:num>
  <w:num w:numId="27">
    <w:abstractNumId w:val="2"/>
  </w:num>
  <w:num w:numId="28">
    <w:abstractNumId w:val="5"/>
  </w:num>
  <w:num w:numId="29">
    <w:abstractNumId w:val="6"/>
  </w:num>
  <w:num w:numId="30">
    <w:abstractNumId w:val="8"/>
  </w:num>
  <w:num w:numId="31">
    <w:abstractNumId w:val="0"/>
  </w:num>
  <w:num w:numId="32">
    <w:abstractNumId w:val="17"/>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partment of Agriculture">
    <w15:presenceInfo w15:providerId="None" w15:userId="Department of Agriculture"/>
  </w15:person>
  <w15:person w15:author="Nind, Leigh">
    <w15:presenceInfo w15:providerId="None" w15:userId="Nind, Lei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A0F"/>
    <w:rsid w:val="000002E4"/>
    <w:rsid w:val="0000127E"/>
    <w:rsid w:val="00001915"/>
    <w:rsid w:val="000024FA"/>
    <w:rsid w:val="00003743"/>
    <w:rsid w:val="0001475D"/>
    <w:rsid w:val="00016327"/>
    <w:rsid w:val="00017B10"/>
    <w:rsid w:val="00020B0F"/>
    <w:rsid w:val="00020D5B"/>
    <w:rsid w:val="000213BE"/>
    <w:rsid w:val="00024308"/>
    <w:rsid w:val="000248F4"/>
    <w:rsid w:val="00024B91"/>
    <w:rsid w:val="00026D67"/>
    <w:rsid w:val="00027D8E"/>
    <w:rsid w:val="000316E0"/>
    <w:rsid w:val="00031BAF"/>
    <w:rsid w:val="00036156"/>
    <w:rsid w:val="00037A7F"/>
    <w:rsid w:val="00040C0E"/>
    <w:rsid w:val="00042D84"/>
    <w:rsid w:val="0004330D"/>
    <w:rsid w:val="00047230"/>
    <w:rsid w:val="00047F69"/>
    <w:rsid w:val="000505CE"/>
    <w:rsid w:val="000509E9"/>
    <w:rsid w:val="00052ABF"/>
    <w:rsid w:val="0005427C"/>
    <w:rsid w:val="0005659D"/>
    <w:rsid w:val="00056779"/>
    <w:rsid w:val="0006135D"/>
    <w:rsid w:val="00061B3D"/>
    <w:rsid w:val="00065340"/>
    <w:rsid w:val="00066095"/>
    <w:rsid w:val="000668D3"/>
    <w:rsid w:val="00067456"/>
    <w:rsid w:val="00070456"/>
    <w:rsid w:val="000731D9"/>
    <w:rsid w:val="00073986"/>
    <w:rsid w:val="000750AA"/>
    <w:rsid w:val="0008461B"/>
    <w:rsid w:val="00084DC1"/>
    <w:rsid w:val="0008579C"/>
    <w:rsid w:val="000870DE"/>
    <w:rsid w:val="00093CA7"/>
    <w:rsid w:val="00095247"/>
    <w:rsid w:val="0009524F"/>
    <w:rsid w:val="000952D8"/>
    <w:rsid w:val="00095767"/>
    <w:rsid w:val="000A0274"/>
    <w:rsid w:val="000A2DC3"/>
    <w:rsid w:val="000A3332"/>
    <w:rsid w:val="000A3B13"/>
    <w:rsid w:val="000B004D"/>
    <w:rsid w:val="000B4948"/>
    <w:rsid w:val="000B6E93"/>
    <w:rsid w:val="000C15F6"/>
    <w:rsid w:val="000C20EC"/>
    <w:rsid w:val="000C2B2C"/>
    <w:rsid w:val="000D0815"/>
    <w:rsid w:val="000D1A78"/>
    <w:rsid w:val="000D22B4"/>
    <w:rsid w:val="000D3CEB"/>
    <w:rsid w:val="000D3F21"/>
    <w:rsid w:val="000D6279"/>
    <w:rsid w:val="000D734D"/>
    <w:rsid w:val="000D7C64"/>
    <w:rsid w:val="000F1D24"/>
    <w:rsid w:val="000F7BC9"/>
    <w:rsid w:val="001012F2"/>
    <w:rsid w:val="001018B1"/>
    <w:rsid w:val="00104C7B"/>
    <w:rsid w:val="00105313"/>
    <w:rsid w:val="00111FAE"/>
    <w:rsid w:val="0011526E"/>
    <w:rsid w:val="00116E9A"/>
    <w:rsid w:val="001225F3"/>
    <w:rsid w:val="00123BD0"/>
    <w:rsid w:val="00125EE2"/>
    <w:rsid w:val="00130632"/>
    <w:rsid w:val="001330BA"/>
    <w:rsid w:val="0013577A"/>
    <w:rsid w:val="001377A6"/>
    <w:rsid w:val="001453D0"/>
    <w:rsid w:val="00146784"/>
    <w:rsid w:val="001478E0"/>
    <w:rsid w:val="00151EA5"/>
    <w:rsid w:val="00153F0A"/>
    <w:rsid w:val="00156732"/>
    <w:rsid w:val="00160B0E"/>
    <w:rsid w:val="00161D32"/>
    <w:rsid w:val="0016258B"/>
    <w:rsid w:val="00163D1C"/>
    <w:rsid w:val="00163D24"/>
    <w:rsid w:val="00164244"/>
    <w:rsid w:val="001645A4"/>
    <w:rsid w:val="00165C0F"/>
    <w:rsid w:val="00165DCE"/>
    <w:rsid w:val="00172B3C"/>
    <w:rsid w:val="00182537"/>
    <w:rsid w:val="001833BA"/>
    <w:rsid w:val="00185732"/>
    <w:rsid w:val="001866D7"/>
    <w:rsid w:val="00187DB4"/>
    <w:rsid w:val="00191BC3"/>
    <w:rsid w:val="00192A02"/>
    <w:rsid w:val="00192A3A"/>
    <w:rsid w:val="00192AAC"/>
    <w:rsid w:val="00193273"/>
    <w:rsid w:val="001947D3"/>
    <w:rsid w:val="00195059"/>
    <w:rsid w:val="00196A97"/>
    <w:rsid w:val="00197EB9"/>
    <w:rsid w:val="001A0FAC"/>
    <w:rsid w:val="001A150D"/>
    <w:rsid w:val="001A1C8C"/>
    <w:rsid w:val="001A3366"/>
    <w:rsid w:val="001A62D0"/>
    <w:rsid w:val="001B0882"/>
    <w:rsid w:val="001B3443"/>
    <w:rsid w:val="001B7E67"/>
    <w:rsid w:val="001C0D37"/>
    <w:rsid w:val="001D07C5"/>
    <w:rsid w:val="001D4257"/>
    <w:rsid w:val="001D48A3"/>
    <w:rsid w:val="001D7808"/>
    <w:rsid w:val="001E08BF"/>
    <w:rsid w:val="001E2F5C"/>
    <w:rsid w:val="001E428D"/>
    <w:rsid w:val="001E440D"/>
    <w:rsid w:val="001E73B4"/>
    <w:rsid w:val="001E7A31"/>
    <w:rsid w:val="001F0E0B"/>
    <w:rsid w:val="001F1858"/>
    <w:rsid w:val="001F49F6"/>
    <w:rsid w:val="001F7B20"/>
    <w:rsid w:val="001F7E87"/>
    <w:rsid w:val="0020257C"/>
    <w:rsid w:val="00210E99"/>
    <w:rsid w:val="00211C65"/>
    <w:rsid w:val="00211D64"/>
    <w:rsid w:val="0021307B"/>
    <w:rsid w:val="00213660"/>
    <w:rsid w:val="002145FB"/>
    <w:rsid w:val="00215E03"/>
    <w:rsid w:val="00220758"/>
    <w:rsid w:val="00221520"/>
    <w:rsid w:val="0023047B"/>
    <w:rsid w:val="00230751"/>
    <w:rsid w:val="002309F4"/>
    <w:rsid w:val="002325C2"/>
    <w:rsid w:val="00235B9A"/>
    <w:rsid w:val="00236236"/>
    <w:rsid w:val="002373B4"/>
    <w:rsid w:val="00237A31"/>
    <w:rsid w:val="00240303"/>
    <w:rsid w:val="002409EC"/>
    <w:rsid w:val="00245004"/>
    <w:rsid w:val="002461C8"/>
    <w:rsid w:val="002469A0"/>
    <w:rsid w:val="00250714"/>
    <w:rsid w:val="00251441"/>
    <w:rsid w:val="00253E9C"/>
    <w:rsid w:val="00255573"/>
    <w:rsid w:val="002559D2"/>
    <w:rsid w:val="00257BAB"/>
    <w:rsid w:val="00260A58"/>
    <w:rsid w:val="0026338A"/>
    <w:rsid w:val="00264D17"/>
    <w:rsid w:val="002752FB"/>
    <w:rsid w:val="00277BF9"/>
    <w:rsid w:val="00281033"/>
    <w:rsid w:val="00281683"/>
    <w:rsid w:val="00283A21"/>
    <w:rsid w:val="00286930"/>
    <w:rsid w:val="00290277"/>
    <w:rsid w:val="00290724"/>
    <w:rsid w:val="00296243"/>
    <w:rsid w:val="0029797C"/>
    <w:rsid w:val="00297A88"/>
    <w:rsid w:val="002A03E9"/>
    <w:rsid w:val="002A132E"/>
    <w:rsid w:val="002A3AC7"/>
    <w:rsid w:val="002A4E3B"/>
    <w:rsid w:val="002B13D6"/>
    <w:rsid w:val="002B1894"/>
    <w:rsid w:val="002B4057"/>
    <w:rsid w:val="002B4525"/>
    <w:rsid w:val="002B5A59"/>
    <w:rsid w:val="002B5D90"/>
    <w:rsid w:val="002B63B6"/>
    <w:rsid w:val="002C50ED"/>
    <w:rsid w:val="002C69E5"/>
    <w:rsid w:val="002D02D6"/>
    <w:rsid w:val="002D1395"/>
    <w:rsid w:val="002D13F2"/>
    <w:rsid w:val="002D27CB"/>
    <w:rsid w:val="002D3493"/>
    <w:rsid w:val="002D7A22"/>
    <w:rsid w:val="002E107C"/>
    <w:rsid w:val="002E4510"/>
    <w:rsid w:val="002E6370"/>
    <w:rsid w:val="002E69C6"/>
    <w:rsid w:val="002F253C"/>
    <w:rsid w:val="002F31E2"/>
    <w:rsid w:val="002F3981"/>
    <w:rsid w:val="002F3AE3"/>
    <w:rsid w:val="00302198"/>
    <w:rsid w:val="00302350"/>
    <w:rsid w:val="0030786C"/>
    <w:rsid w:val="00310BD6"/>
    <w:rsid w:val="00311742"/>
    <w:rsid w:val="0031513E"/>
    <w:rsid w:val="00315727"/>
    <w:rsid w:val="003159D0"/>
    <w:rsid w:val="00315AE8"/>
    <w:rsid w:val="003336CE"/>
    <w:rsid w:val="00335232"/>
    <w:rsid w:val="00335C1E"/>
    <w:rsid w:val="00336539"/>
    <w:rsid w:val="00336D51"/>
    <w:rsid w:val="00342ABE"/>
    <w:rsid w:val="00354BFC"/>
    <w:rsid w:val="00361758"/>
    <w:rsid w:val="00363FB0"/>
    <w:rsid w:val="0036439E"/>
    <w:rsid w:val="0036546A"/>
    <w:rsid w:val="0036560C"/>
    <w:rsid w:val="003676BB"/>
    <w:rsid w:val="00370337"/>
    <w:rsid w:val="00372C76"/>
    <w:rsid w:val="00373F53"/>
    <w:rsid w:val="00375CE8"/>
    <w:rsid w:val="00375E7F"/>
    <w:rsid w:val="00380F36"/>
    <w:rsid w:val="00381F3A"/>
    <w:rsid w:val="00383F33"/>
    <w:rsid w:val="003841A5"/>
    <w:rsid w:val="003871EF"/>
    <w:rsid w:val="0039265A"/>
    <w:rsid w:val="00393A61"/>
    <w:rsid w:val="003A1B6B"/>
    <w:rsid w:val="003A6C8D"/>
    <w:rsid w:val="003B0B26"/>
    <w:rsid w:val="003B1BF0"/>
    <w:rsid w:val="003B3E11"/>
    <w:rsid w:val="003B46AA"/>
    <w:rsid w:val="003C11AF"/>
    <w:rsid w:val="003C320A"/>
    <w:rsid w:val="003C47C6"/>
    <w:rsid w:val="003C7EE4"/>
    <w:rsid w:val="003D08C8"/>
    <w:rsid w:val="003D17F9"/>
    <w:rsid w:val="003D39C4"/>
    <w:rsid w:val="003D7081"/>
    <w:rsid w:val="003E01CF"/>
    <w:rsid w:val="003E088A"/>
    <w:rsid w:val="003E3656"/>
    <w:rsid w:val="003E5106"/>
    <w:rsid w:val="003F0538"/>
    <w:rsid w:val="003F407D"/>
    <w:rsid w:val="003F4738"/>
    <w:rsid w:val="004002A1"/>
    <w:rsid w:val="0040178C"/>
    <w:rsid w:val="00404F92"/>
    <w:rsid w:val="00410379"/>
    <w:rsid w:val="004135A5"/>
    <w:rsid w:val="004146B6"/>
    <w:rsid w:val="00416B6D"/>
    <w:rsid w:val="00420F48"/>
    <w:rsid w:val="00422660"/>
    <w:rsid w:val="00423F08"/>
    <w:rsid w:val="00424C19"/>
    <w:rsid w:val="0042784B"/>
    <w:rsid w:val="0043156C"/>
    <w:rsid w:val="004344C5"/>
    <w:rsid w:val="004352DE"/>
    <w:rsid w:val="004372A8"/>
    <w:rsid w:val="00445D1A"/>
    <w:rsid w:val="00446F0E"/>
    <w:rsid w:val="00450774"/>
    <w:rsid w:val="00450D4D"/>
    <w:rsid w:val="004527CC"/>
    <w:rsid w:val="004539C2"/>
    <w:rsid w:val="00460624"/>
    <w:rsid w:val="00460872"/>
    <w:rsid w:val="00462CFC"/>
    <w:rsid w:val="00464154"/>
    <w:rsid w:val="00471B1B"/>
    <w:rsid w:val="004721D9"/>
    <w:rsid w:val="00472C1B"/>
    <w:rsid w:val="00475065"/>
    <w:rsid w:val="004752BB"/>
    <w:rsid w:val="004833FF"/>
    <w:rsid w:val="00484671"/>
    <w:rsid w:val="00484F53"/>
    <w:rsid w:val="004867E2"/>
    <w:rsid w:val="0048738C"/>
    <w:rsid w:val="00491737"/>
    <w:rsid w:val="00493E8D"/>
    <w:rsid w:val="00494333"/>
    <w:rsid w:val="00496330"/>
    <w:rsid w:val="004973FC"/>
    <w:rsid w:val="00497F5B"/>
    <w:rsid w:val="004A35F6"/>
    <w:rsid w:val="004A418D"/>
    <w:rsid w:val="004A54CD"/>
    <w:rsid w:val="004A652D"/>
    <w:rsid w:val="004B271B"/>
    <w:rsid w:val="004B3A7C"/>
    <w:rsid w:val="004B457F"/>
    <w:rsid w:val="004B49AE"/>
    <w:rsid w:val="004B7FB8"/>
    <w:rsid w:val="004C3A98"/>
    <w:rsid w:val="004D1594"/>
    <w:rsid w:val="004D4AD6"/>
    <w:rsid w:val="004D6672"/>
    <w:rsid w:val="004D7790"/>
    <w:rsid w:val="004D7E24"/>
    <w:rsid w:val="004E05C4"/>
    <w:rsid w:val="004E124F"/>
    <w:rsid w:val="004E3955"/>
    <w:rsid w:val="004E3B0F"/>
    <w:rsid w:val="004E487D"/>
    <w:rsid w:val="004F029C"/>
    <w:rsid w:val="004F0608"/>
    <w:rsid w:val="004F07FA"/>
    <w:rsid w:val="004F0D0D"/>
    <w:rsid w:val="004F2928"/>
    <w:rsid w:val="004F4B8A"/>
    <w:rsid w:val="0050088C"/>
    <w:rsid w:val="00502DA2"/>
    <w:rsid w:val="005108F2"/>
    <w:rsid w:val="00511682"/>
    <w:rsid w:val="00512117"/>
    <w:rsid w:val="00513E19"/>
    <w:rsid w:val="00515678"/>
    <w:rsid w:val="005177FE"/>
    <w:rsid w:val="005179EA"/>
    <w:rsid w:val="00520AC4"/>
    <w:rsid w:val="00520DC5"/>
    <w:rsid w:val="005259C1"/>
    <w:rsid w:val="0052648E"/>
    <w:rsid w:val="00537FA4"/>
    <w:rsid w:val="00541F1A"/>
    <w:rsid w:val="00542076"/>
    <w:rsid w:val="0055052A"/>
    <w:rsid w:val="00551991"/>
    <w:rsid w:val="00553419"/>
    <w:rsid w:val="00554A53"/>
    <w:rsid w:val="00554D72"/>
    <w:rsid w:val="00555084"/>
    <w:rsid w:val="0055625E"/>
    <w:rsid w:val="0056061A"/>
    <w:rsid w:val="00560ACA"/>
    <w:rsid w:val="00564591"/>
    <w:rsid w:val="00565172"/>
    <w:rsid w:val="00565BB6"/>
    <w:rsid w:val="005664A2"/>
    <w:rsid w:val="00566796"/>
    <w:rsid w:val="00566923"/>
    <w:rsid w:val="00567786"/>
    <w:rsid w:val="00567BD1"/>
    <w:rsid w:val="005713A0"/>
    <w:rsid w:val="00576006"/>
    <w:rsid w:val="005820B7"/>
    <w:rsid w:val="00583135"/>
    <w:rsid w:val="005845ED"/>
    <w:rsid w:val="00585209"/>
    <w:rsid w:val="0059281B"/>
    <w:rsid w:val="0059486C"/>
    <w:rsid w:val="00595F8B"/>
    <w:rsid w:val="005971DA"/>
    <w:rsid w:val="005A3B85"/>
    <w:rsid w:val="005A4FFE"/>
    <w:rsid w:val="005B0648"/>
    <w:rsid w:val="005B0778"/>
    <w:rsid w:val="005B0B06"/>
    <w:rsid w:val="005B3C3A"/>
    <w:rsid w:val="005B7017"/>
    <w:rsid w:val="005C1F61"/>
    <w:rsid w:val="005C33B6"/>
    <w:rsid w:val="005C3C10"/>
    <w:rsid w:val="005C521B"/>
    <w:rsid w:val="005D19C7"/>
    <w:rsid w:val="005D4E28"/>
    <w:rsid w:val="005D70FF"/>
    <w:rsid w:val="005E3397"/>
    <w:rsid w:val="005E50F9"/>
    <w:rsid w:val="005F163D"/>
    <w:rsid w:val="005F2E27"/>
    <w:rsid w:val="005F2F7B"/>
    <w:rsid w:val="005F3BA8"/>
    <w:rsid w:val="005F63AF"/>
    <w:rsid w:val="005F6498"/>
    <w:rsid w:val="005F7D01"/>
    <w:rsid w:val="00600939"/>
    <w:rsid w:val="00603159"/>
    <w:rsid w:val="0060364F"/>
    <w:rsid w:val="00604672"/>
    <w:rsid w:val="00605435"/>
    <w:rsid w:val="00605873"/>
    <w:rsid w:val="00607BB6"/>
    <w:rsid w:val="00610144"/>
    <w:rsid w:val="006131DF"/>
    <w:rsid w:val="006146C9"/>
    <w:rsid w:val="00615042"/>
    <w:rsid w:val="00616E2A"/>
    <w:rsid w:val="0063019B"/>
    <w:rsid w:val="0063160F"/>
    <w:rsid w:val="00632CE9"/>
    <w:rsid w:val="00634BD5"/>
    <w:rsid w:val="00640136"/>
    <w:rsid w:val="00642450"/>
    <w:rsid w:val="00642DF3"/>
    <w:rsid w:val="00644FF2"/>
    <w:rsid w:val="00646A64"/>
    <w:rsid w:val="00646DBF"/>
    <w:rsid w:val="006524BB"/>
    <w:rsid w:val="00652CCE"/>
    <w:rsid w:val="00654862"/>
    <w:rsid w:val="006548BF"/>
    <w:rsid w:val="00661EC4"/>
    <w:rsid w:val="006659F1"/>
    <w:rsid w:val="00671649"/>
    <w:rsid w:val="00672DB9"/>
    <w:rsid w:val="0067732C"/>
    <w:rsid w:val="0068460A"/>
    <w:rsid w:val="0068561B"/>
    <w:rsid w:val="00686AFD"/>
    <w:rsid w:val="00686D1E"/>
    <w:rsid w:val="0068786B"/>
    <w:rsid w:val="00691A93"/>
    <w:rsid w:val="006932B9"/>
    <w:rsid w:val="0069517B"/>
    <w:rsid w:val="0069656E"/>
    <w:rsid w:val="00696FE4"/>
    <w:rsid w:val="00697C0D"/>
    <w:rsid w:val="006A3766"/>
    <w:rsid w:val="006A72EF"/>
    <w:rsid w:val="006B3522"/>
    <w:rsid w:val="006B469E"/>
    <w:rsid w:val="006B6134"/>
    <w:rsid w:val="006B65C1"/>
    <w:rsid w:val="006B7CC9"/>
    <w:rsid w:val="006B7D0B"/>
    <w:rsid w:val="006B7EA6"/>
    <w:rsid w:val="006C1B46"/>
    <w:rsid w:val="006C1FCD"/>
    <w:rsid w:val="006C2184"/>
    <w:rsid w:val="006C42F0"/>
    <w:rsid w:val="006C5CE7"/>
    <w:rsid w:val="006C6661"/>
    <w:rsid w:val="006C7F64"/>
    <w:rsid w:val="006D1530"/>
    <w:rsid w:val="006D7D9C"/>
    <w:rsid w:val="006E1B21"/>
    <w:rsid w:val="006E5EE2"/>
    <w:rsid w:val="006E6310"/>
    <w:rsid w:val="006F152E"/>
    <w:rsid w:val="00701E4F"/>
    <w:rsid w:val="00703E44"/>
    <w:rsid w:val="0071220E"/>
    <w:rsid w:val="007123D9"/>
    <w:rsid w:val="007124A6"/>
    <w:rsid w:val="00713D90"/>
    <w:rsid w:val="00720194"/>
    <w:rsid w:val="00720195"/>
    <w:rsid w:val="00721F7F"/>
    <w:rsid w:val="00723100"/>
    <w:rsid w:val="007259EE"/>
    <w:rsid w:val="007268C2"/>
    <w:rsid w:val="00731C95"/>
    <w:rsid w:val="0073402E"/>
    <w:rsid w:val="00737763"/>
    <w:rsid w:val="00742723"/>
    <w:rsid w:val="00742D0F"/>
    <w:rsid w:val="00745AF6"/>
    <w:rsid w:val="0074608A"/>
    <w:rsid w:val="0074610A"/>
    <w:rsid w:val="007505F1"/>
    <w:rsid w:val="00756342"/>
    <w:rsid w:val="00756A4F"/>
    <w:rsid w:val="00757231"/>
    <w:rsid w:val="00760D9E"/>
    <w:rsid w:val="0076309F"/>
    <w:rsid w:val="007635EC"/>
    <w:rsid w:val="00763797"/>
    <w:rsid w:val="00764C4C"/>
    <w:rsid w:val="00767A0F"/>
    <w:rsid w:val="00767D01"/>
    <w:rsid w:val="00770146"/>
    <w:rsid w:val="0077224D"/>
    <w:rsid w:val="0077432E"/>
    <w:rsid w:val="007752A4"/>
    <w:rsid w:val="00775A8B"/>
    <w:rsid w:val="007761EB"/>
    <w:rsid w:val="00781B62"/>
    <w:rsid w:val="00782466"/>
    <w:rsid w:val="00790543"/>
    <w:rsid w:val="00790B40"/>
    <w:rsid w:val="007954C4"/>
    <w:rsid w:val="00796B67"/>
    <w:rsid w:val="007979D9"/>
    <w:rsid w:val="007A0F03"/>
    <w:rsid w:val="007A4EA8"/>
    <w:rsid w:val="007B0EC9"/>
    <w:rsid w:val="007B402B"/>
    <w:rsid w:val="007B5DC0"/>
    <w:rsid w:val="007C03F0"/>
    <w:rsid w:val="007C1747"/>
    <w:rsid w:val="007C175F"/>
    <w:rsid w:val="007C5358"/>
    <w:rsid w:val="007C6C55"/>
    <w:rsid w:val="007D19D7"/>
    <w:rsid w:val="007D5E52"/>
    <w:rsid w:val="007D68D2"/>
    <w:rsid w:val="007D7959"/>
    <w:rsid w:val="007E3597"/>
    <w:rsid w:val="007E3768"/>
    <w:rsid w:val="007E480C"/>
    <w:rsid w:val="007E5DD1"/>
    <w:rsid w:val="007E7E4E"/>
    <w:rsid w:val="007F12A1"/>
    <w:rsid w:val="007F2EB3"/>
    <w:rsid w:val="007F5BDD"/>
    <w:rsid w:val="00801BA3"/>
    <w:rsid w:val="00807F0E"/>
    <w:rsid w:val="00814305"/>
    <w:rsid w:val="0081710A"/>
    <w:rsid w:val="0082119A"/>
    <w:rsid w:val="00823B3E"/>
    <w:rsid w:val="00824CEF"/>
    <w:rsid w:val="008264EB"/>
    <w:rsid w:val="008264EC"/>
    <w:rsid w:val="00830488"/>
    <w:rsid w:val="0083114B"/>
    <w:rsid w:val="00832D5E"/>
    <w:rsid w:val="00833917"/>
    <w:rsid w:val="0084295C"/>
    <w:rsid w:val="00844DBE"/>
    <w:rsid w:val="00845248"/>
    <w:rsid w:val="008453D6"/>
    <w:rsid w:val="00846F2D"/>
    <w:rsid w:val="0085298C"/>
    <w:rsid w:val="00853C4E"/>
    <w:rsid w:val="00853CF7"/>
    <w:rsid w:val="00855985"/>
    <w:rsid w:val="008562C3"/>
    <w:rsid w:val="00860BAD"/>
    <w:rsid w:val="008615B4"/>
    <w:rsid w:val="00862F3C"/>
    <w:rsid w:val="00864607"/>
    <w:rsid w:val="00864B58"/>
    <w:rsid w:val="008658F3"/>
    <w:rsid w:val="008663CD"/>
    <w:rsid w:val="00866C6C"/>
    <w:rsid w:val="00866C9C"/>
    <w:rsid w:val="00870BA7"/>
    <w:rsid w:val="0087150D"/>
    <w:rsid w:val="0087683F"/>
    <w:rsid w:val="00876F31"/>
    <w:rsid w:val="00883C9C"/>
    <w:rsid w:val="00887EFA"/>
    <w:rsid w:val="00892729"/>
    <w:rsid w:val="00893A7C"/>
    <w:rsid w:val="00894274"/>
    <w:rsid w:val="008A35D3"/>
    <w:rsid w:val="008A5735"/>
    <w:rsid w:val="008A62DA"/>
    <w:rsid w:val="008B1C82"/>
    <w:rsid w:val="008B6086"/>
    <w:rsid w:val="008B6BB9"/>
    <w:rsid w:val="008C1948"/>
    <w:rsid w:val="008C5303"/>
    <w:rsid w:val="008C564D"/>
    <w:rsid w:val="008C6509"/>
    <w:rsid w:val="008D0C09"/>
    <w:rsid w:val="008D579F"/>
    <w:rsid w:val="008D68BF"/>
    <w:rsid w:val="008D7A77"/>
    <w:rsid w:val="008E0831"/>
    <w:rsid w:val="008E269D"/>
    <w:rsid w:val="008E3ECA"/>
    <w:rsid w:val="008E5DBF"/>
    <w:rsid w:val="008E7544"/>
    <w:rsid w:val="008E7B79"/>
    <w:rsid w:val="008F2968"/>
    <w:rsid w:val="008F7B86"/>
    <w:rsid w:val="008F7D7B"/>
    <w:rsid w:val="00902E66"/>
    <w:rsid w:val="00903456"/>
    <w:rsid w:val="0090379B"/>
    <w:rsid w:val="009041F8"/>
    <w:rsid w:val="00906657"/>
    <w:rsid w:val="009071A4"/>
    <w:rsid w:val="00914B0A"/>
    <w:rsid w:val="00914BE3"/>
    <w:rsid w:val="00924144"/>
    <w:rsid w:val="00927199"/>
    <w:rsid w:val="00934678"/>
    <w:rsid w:val="009360B9"/>
    <w:rsid w:val="00936482"/>
    <w:rsid w:val="009368A4"/>
    <w:rsid w:val="00937768"/>
    <w:rsid w:val="00937F13"/>
    <w:rsid w:val="009401EA"/>
    <w:rsid w:val="00941B0E"/>
    <w:rsid w:val="00945066"/>
    <w:rsid w:val="00950B9D"/>
    <w:rsid w:val="00950CBC"/>
    <w:rsid w:val="0095182D"/>
    <w:rsid w:val="00953282"/>
    <w:rsid w:val="009542C2"/>
    <w:rsid w:val="009547A6"/>
    <w:rsid w:val="009549A4"/>
    <w:rsid w:val="00955088"/>
    <w:rsid w:val="00962C19"/>
    <w:rsid w:val="00963286"/>
    <w:rsid w:val="00963E52"/>
    <w:rsid w:val="00980450"/>
    <w:rsid w:val="009812AE"/>
    <w:rsid w:val="00981A98"/>
    <w:rsid w:val="00986C0D"/>
    <w:rsid w:val="009871A8"/>
    <w:rsid w:val="00994205"/>
    <w:rsid w:val="009A2E6C"/>
    <w:rsid w:val="009A414C"/>
    <w:rsid w:val="009A6291"/>
    <w:rsid w:val="009A68A2"/>
    <w:rsid w:val="009A73A6"/>
    <w:rsid w:val="009B151F"/>
    <w:rsid w:val="009B3635"/>
    <w:rsid w:val="009B3ECF"/>
    <w:rsid w:val="009B4765"/>
    <w:rsid w:val="009C46C8"/>
    <w:rsid w:val="009C75B5"/>
    <w:rsid w:val="009D23DE"/>
    <w:rsid w:val="009D2F8D"/>
    <w:rsid w:val="009D629F"/>
    <w:rsid w:val="009D6351"/>
    <w:rsid w:val="009D65ED"/>
    <w:rsid w:val="009E0559"/>
    <w:rsid w:val="009E442E"/>
    <w:rsid w:val="009E56F5"/>
    <w:rsid w:val="009E7D9B"/>
    <w:rsid w:val="00A00C4A"/>
    <w:rsid w:val="00A01CB0"/>
    <w:rsid w:val="00A027A6"/>
    <w:rsid w:val="00A02E87"/>
    <w:rsid w:val="00A048F5"/>
    <w:rsid w:val="00A05F84"/>
    <w:rsid w:val="00A063AD"/>
    <w:rsid w:val="00A07B24"/>
    <w:rsid w:val="00A10098"/>
    <w:rsid w:val="00A108A1"/>
    <w:rsid w:val="00A13583"/>
    <w:rsid w:val="00A176DF"/>
    <w:rsid w:val="00A24D66"/>
    <w:rsid w:val="00A25523"/>
    <w:rsid w:val="00A27B96"/>
    <w:rsid w:val="00A33AFF"/>
    <w:rsid w:val="00A40EF7"/>
    <w:rsid w:val="00A428FE"/>
    <w:rsid w:val="00A429DB"/>
    <w:rsid w:val="00A440F9"/>
    <w:rsid w:val="00A44154"/>
    <w:rsid w:val="00A44A08"/>
    <w:rsid w:val="00A4512D"/>
    <w:rsid w:val="00A475C3"/>
    <w:rsid w:val="00A478A7"/>
    <w:rsid w:val="00A51406"/>
    <w:rsid w:val="00A52A46"/>
    <w:rsid w:val="00A54F05"/>
    <w:rsid w:val="00A55C8E"/>
    <w:rsid w:val="00A57F19"/>
    <w:rsid w:val="00A6086C"/>
    <w:rsid w:val="00A60F9A"/>
    <w:rsid w:val="00A6317D"/>
    <w:rsid w:val="00A705AF"/>
    <w:rsid w:val="00A711B0"/>
    <w:rsid w:val="00A71919"/>
    <w:rsid w:val="00A73F08"/>
    <w:rsid w:val="00A753E8"/>
    <w:rsid w:val="00A75B7E"/>
    <w:rsid w:val="00A804B4"/>
    <w:rsid w:val="00A8199A"/>
    <w:rsid w:val="00A8666A"/>
    <w:rsid w:val="00A9373F"/>
    <w:rsid w:val="00A93797"/>
    <w:rsid w:val="00AA02FD"/>
    <w:rsid w:val="00AA0657"/>
    <w:rsid w:val="00AA1B8F"/>
    <w:rsid w:val="00AA59FB"/>
    <w:rsid w:val="00AA632F"/>
    <w:rsid w:val="00AA7C0D"/>
    <w:rsid w:val="00AB1C51"/>
    <w:rsid w:val="00AB27F5"/>
    <w:rsid w:val="00AB3422"/>
    <w:rsid w:val="00AB34E5"/>
    <w:rsid w:val="00AB395A"/>
    <w:rsid w:val="00AB3C76"/>
    <w:rsid w:val="00AB7478"/>
    <w:rsid w:val="00AC081C"/>
    <w:rsid w:val="00AC4422"/>
    <w:rsid w:val="00AC7304"/>
    <w:rsid w:val="00AC76CE"/>
    <w:rsid w:val="00AD007B"/>
    <w:rsid w:val="00AD0473"/>
    <w:rsid w:val="00AD1DE6"/>
    <w:rsid w:val="00AE0291"/>
    <w:rsid w:val="00AE2D66"/>
    <w:rsid w:val="00AE6168"/>
    <w:rsid w:val="00AF17FD"/>
    <w:rsid w:val="00AF469A"/>
    <w:rsid w:val="00AF47EF"/>
    <w:rsid w:val="00AF53A6"/>
    <w:rsid w:val="00AF544C"/>
    <w:rsid w:val="00AF5BB1"/>
    <w:rsid w:val="00AF6F9A"/>
    <w:rsid w:val="00AF74A1"/>
    <w:rsid w:val="00B0030F"/>
    <w:rsid w:val="00B01F5C"/>
    <w:rsid w:val="00B01FF5"/>
    <w:rsid w:val="00B0268F"/>
    <w:rsid w:val="00B03B46"/>
    <w:rsid w:val="00B0492D"/>
    <w:rsid w:val="00B04E5F"/>
    <w:rsid w:val="00B07726"/>
    <w:rsid w:val="00B112CE"/>
    <w:rsid w:val="00B12BD6"/>
    <w:rsid w:val="00B13E15"/>
    <w:rsid w:val="00B16587"/>
    <w:rsid w:val="00B16F76"/>
    <w:rsid w:val="00B22D4B"/>
    <w:rsid w:val="00B22DDE"/>
    <w:rsid w:val="00B3134E"/>
    <w:rsid w:val="00B322D5"/>
    <w:rsid w:val="00B32F4D"/>
    <w:rsid w:val="00B37F4C"/>
    <w:rsid w:val="00B40305"/>
    <w:rsid w:val="00B41FB8"/>
    <w:rsid w:val="00B42851"/>
    <w:rsid w:val="00B442D6"/>
    <w:rsid w:val="00B50E3F"/>
    <w:rsid w:val="00B50EBC"/>
    <w:rsid w:val="00B51E93"/>
    <w:rsid w:val="00B52E8B"/>
    <w:rsid w:val="00B54AAE"/>
    <w:rsid w:val="00B54E55"/>
    <w:rsid w:val="00B565AD"/>
    <w:rsid w:val="00B605F6"/>
    <w:rsid w:val="00B61091"/>
    <w:rsid w:val="00B63C2C"/>
    <w:rsid w:val="00B663DC"/>
    <w:rsid w:val="00B701F2"/>
    <w:rsid w:val="00B72FB5"/>
    <w:rsid w:val="00B76DD4"/>
    <w:rsid w:val="00B8252E"/>
    <w:rsid w:val="00B857EB"/>
    <w:rsid w:val="00B86DC4"/>
    <w:rsid w:val="00B908E0"/>
    <w:rsid w:val="00B9168A"/>
    <w:rsid w:val="00B94802"/>
    <w:rsid w:val="00BA11B8"/>
    <w:rsid w:val="00BA55E1"/>
    <w:rsid w:val="00BA582A"/>
    <w:rsid w:val="00BA5D97"/>
    <w:rsid w:val="00BB3176"/>
    <w:rsid w:val="00BB7284"/>
    <w:rsid w:val="00BC48F7"/>
    <w:rsid w:val="00BC57C9"/>
    <w:rsid w:val="00BD2E89"/>
    <w:rsid w:val="00BD3228"/>
    <w:rsid w:val="00BD7287"/>
    <w:rsid w:val="00BE367A"/>
    <w:rsid w:val="00BE3EB2"/>
    <w:rsid w:val="00BE4F42"/>
    <w:rsid w:val="00BE6F52"/>
    <w:rsid w:val="00BE7D56"/>
    <w:rsid w:val="00BF0A8B"/>
    <w:rsid w:val="00BF17CD"/>
    <w:rsid w:val="00BF1D28"/>
    <w:rsid w:val="00BF280C"/>
    <w:rsid w:val="00BF7F2D"/>
    <w:rsid w:val="00C02BAA"/>
    <w:rsid w:val="00C0371B"/>
    <w:rsid w:val="00C22ACE"/>
    <w:rsid w:val="00C24406"/>
    <w:rsid w:val="00C3031B"/>
    <w:rsid w:val="00C30479"/>
    <w:rsid w:val="00C32BEF"/>
    <w:rsid w:val="00C3333E"/>
    <w:rsid w:val="00C33EF7"/>
    <w:rsid w:val="00C4006E"/>
    <w:rsid w:val="00C41E7E"/>
    <w:rsid w:val="00C420E1"/>
    <w:rsid w:val="00C4275F"/>
    <w:rsid w:val="00C45E29"/>
    <w:rsid w:val="00C508C3"/>
    <w:rsid w:val="00C5097B"/>
    <w:rsid w:val="00C5161A"/>
    <w:rsid w:val="00C579B6"/>
    <w:rsid w:val="00C63A1C"/>
    <w:rsid w:val="00C64CBD"/>
    <w:rsid w:val="00C66447"/>
    <w:rsid w:val="00C665F0"/>
    <w:rsid w:val="00C7027D"/>
    <w:rsid w:val="00C721CE"/>
    <w:rsid w:val="00C73070"/>
    <w:rsid w:val="00C76662"/>
    <w:rsid w:val="00C81FE9"/>
    <w:rsid w:val="00C865B7"/>
    <w:rsid w:val="00C94988"/>
    <w:rsid w:val="00CA3DA2"/>
    <w:rsid w:val="00CA50EB"/>
    <w:rsid w:val="00CA5473"/>
    <w:rsid w:val="00CA7184"/>
    <w:rsid w:val="00CA78C0"/>
    <w:rsid w:val="00CA7C58"/>
    <w:rsid w:val="00CB1967"/>
    <w:rsid w:val="00CB45A8"/>
    <w:rsid w:val="00CB462C"/>
    <w:rsid w:val="00CB53E5"/>
    <w:rsid w:val="00CB5B1A"/>
    <w:rsid w:val="00CB6729"/>
    <w:rsid w:val="00CB7607"/>
    <w:rsid w:val="00CC0008"/>
    <w:rsid w:val="00CC5300"/>
    <w:rsid w:val="00CC70AF"/>
    <w:rsid w:val="00CC73E9"/>
    <w:rsid w:val="00CC7882"/>
    <w:rsid w:val="00CD252F"/>
    <w:rsid w:val="00CE3370"/>
    <w:rsid w:val="00CE4D45"/>
    <w:rsid w:val="00CF3522"/>
    <w:rsid w:val="00CF3C34"/>
    <w:rsid w:val="00D0018C"/>
    <w:rsid w:val="00D00712"/>
    <w:rsid w:val="00D0074B"/>
    <w:rsid w:val="00D0141F"/>
    <w:rsid w:val="00D02A4C"/>
    <w:rsid w:val="00D04C25"/>
    <w:rsid w:val="00D056AA"/>
    <w:rsid w:val="00D062AB"/>
    <w:rsid w:val="00D065EF"/>
    <w:rsid w:val="00D06965"/>
    <w:rsid w:val="00D21E93"/>
    <w:rsid w:val="00D22674"/>
    <w:rsid w:val="00D24E88"/>
    <w:rsid w:val="00D31633"/>
    <w:rsid w:val="00D3268E"/>
    <w:rsid w:val="00D32D98"/>
    <w:rsid w:val="00D33FEF"/>
    <w:rsid w:val="00D3731E"/>
    <w:rsid w:val="00D374D7"/>
    <w:rsid w:val="00D41907"/>
    <w:rsid w:val="00D42CC7"/>
    <w:rsid w:val="00D43418"/>
    <w:rsid w:val="00D56BF5"/>
    <w:rsid w:val="00D56F61"/>
    <w:rsid w:val="00D608D8"/>
    <w:rsid w:val="00D64E16"/>
    <w:rsid w:val="00D652C9"/>
    <w:rsid w:val="00D657A7"/>
    <w:rsid w:val="00D667C4"/>
    <w:rsid w:val="00D708DB"/>
    <w:rsid w:val="00D72F42"/>
    <w:rsid w:val="00D73A22"/>
    <w:rsid w:val="00D76F48"/>
    <w:rsid w:val="00D77D72"/>
    <w:rsid w:val="00D80D26"/>
    <w:rsid w:val="00D82005"/>
    <w:rsid w:val="00D82BE2"/>
    <w:rsid w:val="00D9152F"/>
    <w:rsid w:val="00D93E7D"/>
    <w:rsid w:val="00D94F1D"/>
    <w:rsid w:val="00D95B53"/>
    <w:rsid w:val="00D964B5"/>
    <w:rsid w:val="00D96A4E"/>
    <w:rsid w:val="00DA283E"/>
    <w:rsid w:val="00DA4905"/>
    <w:rsid w:val="00DA5880"/>
    <w:rsid w:val="00DA5989"/>
    <w:rsid w:val="00DB19E3"/>
    <w:rsid w:val="00DB26D1"/>
    <w:rsid w:val="00DB27F7"/>
    <w:rsid w:val="00DB2CFE"/>
    <w:rsid w:val="00DB3C5B"/>
    <w:rsid w:val="00DB46C4"/>
    <w:rsid w:val="00DB6212"/>
    <w:rsid w:val="00DB68FB"/>
    <w:rsid w:val="00DB7946"/>
    <w:rsid w:val="00DC0698"/>
    <w:rsid w:val="00DC3575"/>
    <w:rsid w:val="00DC4DC0"/>
    <w:rsid w:val="00DC6844"/>
    <w:rsid w:val="00DD00DC"/>
    <w:rsid w:val="00DD652B"/>
    <w:rsid w:val="00DD74B3"/>
    <w:rsid w:val="00DE3E3B"/>
    <w:rsid w:val="00DE696C"/>
    <w:rsid w:val="00E03FC9"/>
    <w:rsid w:val="00E0608E"/>
    <w:rsid w:val="00E07561"/>
    <w:rsid w:val="00E07625"/>
    <w:rsid w:val="00E11E11"/>
    <w:rsid w:val="00E12175"/>
    <w:rsid w:val="00E13113"/>
    <w:rsid w:val="00E1429E"/>
    <w:rsid w:val="00E14896"/>
    <w:rsid w:val="00E212E5"/>
    <w:rsid w:val="00E232EC"/>
    <w:rsid w:val="00E23DE3"/>
    <w:rsid w:val="00E2433E"/>
    <w:rsid w:val="00E25000"/>
    <w:rsid w:val="00E2723F"/>
    <w:rsid w:val="00E31BA1"/>
    <w:rsid w:val="00E34EEC"/>
    <w:rsid w:val="00E37D6C"/>
    <w:rsid w:val="00E43536"/>
    <w:rsid w:val="00E43867"/>
    <w:rsid w:val="00E475D8"/>
    <w:rsid w:val="00E47853"/>
    <w:rsid w:val="00E47C80"/>
    <w:rsid w:val="00E545EE"/>
    <w:rsid w:val="00E574D5"/>
    <w:rsid w:val="00E6113E"/>
    <w:rsid w:val="00E62202"/>
    <w:rsid w:val="00E649C9"/>
    <w:rsid w:val="00E64C20"/>
    <w:rsid w:val="00E6581D"/>
    <w:rsid w:val="00E6779A"/>
    <w:rsid w:val="00E72CEB"/>
    <w:rsid w:val="00E7635D"/>
    <w:rsid w:val="00E82911"/>
    <w:rsid w:val="00E82EDE"/>
    <w:rsid w:val="00E83599"/>
    <w:rsid w:val="00E86F95"/>
    <w:rsid w:val="00E9038A"/>
    <w:rsid w:val="00E90601"/>
    <w:rsid w:val="00E90A68"/>
    <w:rsid w:val="00E919A0"/>
    <w:rsid w:val="00E920D7"/>
    <w:rsid w:val="00E9214D"/>
    <w:rsid w:val="00E9239B"/>
    <w:rsid w:val="00E94CEA"/>
    <w:rsid w:val="00EA13C7"/>
    <w:rsid w:val="00EA3978"/>
    <w:rsid w:val="00EA39AE"/>
    <w:rsid w:val="00EA48A8"/>
    <w:rsid w:val="00EA4AD8"/>
    <w:rsid w:val="00EA4E2D"/>
    <w:rsid w:val="00EA51EB"/>
    <w:rsid w:val="00EA64A5"/>
    <w:rsid w:val="00EA650B"/>
    <w:rsid w:val="00EA78AA"/>
    <w:rsid w:val="00EA7EA6"/>
    <w:rsid w:val="00EB0173"/>
    <w:rsid w:val="00EB09B4"/>
    <w:rsid w:val="00EB1734"/>
    <w:rsid w:val="00EB1D3C"/>
    <w:rsid w:val="00EB40C1"/>
    <w:rsid w:val="00EB502A"/>
    <w:rsid w:val="00EB5A66"/>
    <w:rsid w:val="00EC06CC"/>
    <w:rsid w:val="00EC389F"/>
    <w:rsid w:val="00EC3BBE"/>
    <w:rsid w:val="00EC3EBC"/>
    <w:rsid w:val="00EC5AAC"/>
    <w:rsid w:val="00EE009E"/>
    <w:rsid w:val="00EE13EE"/>
    <w:rsid w:val="00EE2D25"/>
    <w:rsid w:val="00EE53D4"/>
    <w:rsid w:val="00EE6B9B"/>
    <w:rsid w:val="00EF01E2"/>
    <w:rsid w:val="00EF03F5"/>
    <w:rsid w:val="00EF0836"/>
    <w:rsid w:val="00EF28D3"/>
    <w:rsid w:val="00EF4D89"/>
    <w:rsid w:val="00EF50C2"/>
    <w:rsid w:val="00EF654C"/>
    <w:rsid w:val="00F06FB8"/>
    <w:rsid w:val="00F07325"/>
    <w:rsid w:val="00F10455"/>
    <w:rsid w:val="00F1550F"/>
    <w:rsid w:val="00F2039C"/>
    <w:rsid w:val="00F2048A"/>
    <w:rsid w:val="00F20C33"/>
    <w:rsid w:val="00F21C41"/>
    <w:rsid w:val="00F2209D"/>
    <w:rsid w:val="00F25DCF"/>
    <w:rsid w:val="00F26B7C"/>
    <w:rsid w:val="00F27524"/>
    <w:rsid w:val="00F30495"/>
    <w:rsid w:val="00F30C3B"/>
    <w:rsid w:val="00F32456"/>
    <w:rsid w:val="00F34AAA"/>
    <w:rsid w:val="00F37109"/>
    <w:rsid w:val="00F376A0"/>
    <w:rsid w:val="00F37934"/>
    <w:rsid w:val="00F41B9A"/>
    <w:rsid w:val="00F45A0F"/>
    <w:rsid w:val="00F51A3E"/>
    <w:rsid w:val="00F544D4"/>
    <w:rsid w:val="00F62512"/>
    <w:rsid w:val="00F665F1"/>
    <w:rsid w:val="00F715D5"/>
    <w:rsid w:val="00F72B42"/>
    <w:rsid w:val="00F73130"/>
    <w:rsid w:val="00F762D4"/>
    <w:rsid w:val="00F763FF"/>
    <w:rsid w:val="00F80B8B"/>
    <w:rsid w:val="00F83C13"/>
    <w:rsid w:val="00F85AA1"/>
    <w:rsid w:val="00F85DED"/>
    <w:rsid w:val="00F86156"/>
    <w:rsid w:val="00F91428"/>
    <w:rsid w:val="00F9267A"/>
    <w:rsid w:val="00F93355"/>
    <w:rsid w:val="00F94C37"/>
    <w:rsid w:val="00F96594"/>
    <w:rsid w:val="00F97E8B"/>
    <w:rsid w:val="00FA4B7A"/>
    <w:rsid w:val="00FA777B"/>
    <w:rsid w:val="00FA7F0A"/>
    <w:rsid w:val="00FB06F7"/>
    <w:rsid w:val="00FB0881"/>
    <w:rsid w:val="00FB5C1E"/>
    <w:rsid w:val="00FB5D6E"/>
    <w:rsid w:val="00FC09FD"/>
    <w:rsid w:val="00FC2211"/>
    <w:rsid w:val="00FC2C4A"/>
    <w:rsid w:val="00FC3A1C"/>
    <w:rsid w:val="00FC536A"/>
    <w:rsid w:val="00FD09EE"/>
    <w:rsid w:val="00FD2FB6"/>
    <w:rsid w:val="00FD4C8A"/>
    <w:rsid w:val="00FD5373"/>
    <w:rsid w:val="00FD7515"/>
    <w:rsid w:val="00FE0759"/>
    <w:rsid w:val="00FE2A62"/>
    <w:rsid w:val="00FE395F"/>
    <w:rsid w:val="00FE41ED"/>
    <w:rsid w:val="00FF3029"/>
    <w:rsid w:val="00FF5863"/>
    <w:rsid w:val="00FF63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Bullet" w:uiPriority="99"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902E66"/>
    <w:pPr>
      <w:keepNext/>
      <w:spacing w:before="240" w:after="60"/>
      <w:outlineLvl w:val="0"/>
    </w:pPr>
    <w:rPr>
      <w:rFonts w:asciiTheme="minorHAnsi" w:hAnsiTheme="minorHAnsi"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445D1A"/>
    <w:pPr>
      <w:spacing w:after="120"/>
      <w:outlineLvl w:val="2"/>
    </w:pPr>
    <w:rPr>
      <w:rFonts w:asciiTheme="minorHAnsi" w:hAnsiTheme="minorHAnsi"/>
      <w:b/>
      <w:i/>
    </w:rPr>
  </w:style>
  <w:style w:type="paragraph" w:styleId="Heading4">
    <w:name w:val="heading 4"/>
    <w:basedOn w:val="Normal"/>
    <w:next w:val="Normal"/>
    <w:qFormat/>
    <w:rsid w:val="00445D1A"/>
    <w:pPr>
      <w:outlineLvl w:val="3"/>
    </w:pPr>
    <w:rPr>
      <w:rFonts w:asciiTheme="minorHAnsi" w:hAnsiTheme="minorHAnsi"/>
      <w:b/>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uiPriority w:val="10"/>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uiPriority w:val="10"/>
    <w:rsid w:val="00A705AF"/>
    <w:rPr>
      <w:rFonts w:ascii="Arial" w:eastAsiaTheme="majorEastAsia" w:hAnsi="Arial" w:cstheme="majorBidi"/>
      <w:b/>
      <w:kern w:val="28"/>
      <w:sz w:val="32"/>
      <w:szCs w:val="52"/>
      <w:lang w:eastAsia="en-US"/>
    </w:rPr>
  </w:style>
  <w:style w:type="paragraph" w:styleId="NoSpacing">
    <w:name w:val="No Spacing"/>
    <w:link w:val="NoSpacingChar"/>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CV t"/>
    <w:basedOn w:val="Normal"/>
    <w:link w:val="ListParagraphChar"/>
    <w:uiPriority w:val="34"/>
    <w:qFormat/>
    <w:rsid w:val="00A4512D"/>
    <w:pPr>
      <w:ind w:left="720"/>
      <w:contextualSpacing/>
    </w:pPr>
  </w:style>
  <w:style w:type="paragraph" w:styleId="TOCHeading">
    <w:name w:val="TOC Heading"/>
    <w:basedOn w:val="Heading1"/>
    <w:next w:val="Normal"/>
    <w:uiPriority w:val="39"/>
    <w:unhideWhenUsed/>
    <w:qFormat/>
    <w:rsid w:val="00F45A0F"/>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styleId="BalloonText">
    <w:name w:val="Balloon Text"/>
    <w:basedOn w:val="Normal"/>
    <w:link w:val="BalloonTextChar"/>
    <w:rsid w:val="00F45A0F"/>
    <w:rPr>
      <w:rFonts w:ascii="Tahoma" w:hAnsi="Tahoma" w:cs="Tahoma"/>
      <w:sz w:val="16"/>
      <w:szCs w:val="16"/>
    </w:rPr>
  </w:style>
  <w:style w:type="character" w:customStyle="1" w:styleId="BalloonTextChar">
    <w:name w:val="Balloon Text Char"/>
    <w:basedOn w:val="DefaultParagraphFont"/>
    <w:link w:val="BalloonText"/>
    <w:rsid w:val="00F45A0F"/>
    <w:rPr>
      <w:rFonts w:ascii="Tahoma" w:hAnsi="Tahoma" w:cs="Tahoma"/>
      <w:sz w:val="16"/>
      <w:szCs w:val="16"/>
      <w:lang w:eastAsia="en-US"/>
    </w:rPr>
  </w:style>
  <w:style w:type="paragraph" w:styleId="TOC1">
    <w:name w:val="toc 1"/>
    <w:basedOn w:val="Normal"/>
    <w:next w:val="Normal"/>
    <w:autoRedefine/>
    <w:uiPriority w:val="39"/>
    <w:rsid w:val="00EF01E2"/>
    <w:pPr>
      <w:tabs>
        <w:tab w:val="right" w:leader="dot" w:pos="9016"/>
      </w:tabs>
      <w:spacing w:before="120" w:after="120"/>
    </w:pPr>
    <w:rPr>
      <w:rFonts w:asciiTheme="minorHAnsi" w:hAnsiTheme="minorHAnsi"/>
      <w:noProof/>
    </w:rPr>
  </w:style>
  <w:style w:type="character" w:styleId="Hyperlink">
    <w:name w:val="Hyperlink"/>
    <w:basedOn w:val="DefaultParagraphFont"/>
    <w:uiPriority w:val="99"/>
    <w:unhideWhenUsed/>
    <w:rsid w:val="00F45A0F"/>
    <w:rPr>
      <w:color w:val="0000FF" w:themeColor="hyperlink"/>
      <w:u w:val="single"/>
    </w:rPr>
  </w:style>
  <w:style w:type="character" w:customStyle="1" w:styleId="NoSpacingChar">
    <w:name w:val="No Spacing Char"/>
    <w:basedOn w:val="DefaultParagraphFont"/>
    <w:link w:val="NoSpacing"/>
    <w:uiPriority w:val="1"/>
    <w:rsid w:val="00AD0473"/>
    <w:rPr>
      <w:sz w:val="24"/>
      <w:szCs w:val="24"/>
      <w:lang w:eastAsia="en-US"/>
    </w:rPr>
  </w:style>
  <w:style w:type="paragraph" w:styleId="TOC2">
    <w:name w:val="toc 2"/>
    <w:basedOn w:val="Normal"/>
    <w:next w:val="Normal"/>
    <w:autoRedefine/>
    <w:uiPriority w:val="39"/>
    <w:rsid w:val="00EF01E2"/>
    <w:pPr>
      <w:tabs>
        <w:tab w:val="right" w:leader="dot" w:pos="9016"/>
      </w:tabs>
      <w:ind w:left="238"/>
    </w:pPr>
    <w:rPr>
      <w:rFonts w:asciiTheme="minorHAnsi" w:hAnsiTheme="minorHAnsi"/>
      <w:noProof/>
    </w:rPr>
  </w:style>
  <w:style w:type="paragraph" w:customStyle="1" w:styleId="boxpurple">
    <w:name w:val="box purple"/>
    <w:basedOn w:val="Normal"/>
    <w:link w:val="boxpurpleChar"/>
    <w:qFormat/>
    <w:rsid w:val="001A150D"/>
    <w:pPr>
      <w:pBdr>
        <w:top w:val="single" w:sz="4" w:space="5" w:color="auto"/>
        <w:left w:val="single" w:sz="4" w:space="5" w:color="auto"/>
        <w:bottom w:val="single" w:sz="4" w:space="5" w:color="auto"/>
        <w:right w:val="single" w:sz="4" w:space="5" w:color="auto"/>
      </w:pBdr>
      <w:shd w:val="clear" w:color="auto" w:fill="FFFFFF" w:themeFill="background1"/>
      <w:spacing w:before="120" w:after="120"/>
    </w:pPr>
    <w:rPr>
      <w:rFonts w:asciiTheme="minorHAnsi" w:eastAsiaTheme="minorEastAsia" w:hAnsiTheme="minorHAnsi" w:cstheme="minorBidi"/>
      <w:color w:val="FFFFFF" w:themeColor="background1"/>
      <w:sz w:val="18"/>
      <w:szCs w:val="22"/>
    </w:rPr>
  </w:style>
  <w:style w:type="character" w:customStyle="1" w:styleId="boxpurpleChar">
    <w:name w:val="box purple Char"/>
    <w:basedOn w:val="DefaultParagraphFont"/>
    <w:link w:val="boxpurple"/>
    <w:rsid w:val="001A150D"/>
    <w:rPr>
      <w:rFonts w:asciiTheme="minorHAnsi" w:eastAsiaTheme="minorEastAsia" w:hAnsiTheme="minorHAnsi" w:cstheme="minorBidi"/>
      <w:color w:val="FFFFFF" w:themeColor="background1"/>
      <w:sz w:val="18"/>
      <w:szCs w:val="22"/>
      <w:shd w:val="clear" w:color="auto" w:fill="FFFFFF" w:themeFill="background1"/>
      <w:lang w:eastAsia="en-US"/>
    </w:rPr>
  </w:style>
  <w:style w:type="table" w:styleId="TableGrid">
    <w:name w:val="Table Grid"/>
    <w:basedOn w:val="TableNormal"/>
    <w:uiPriority w:val="59"/>
    <w:rsid w:val="00BE367A"/>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96A4E"/>
    <w:pPr>
      <w:tabs>
        <w:tab w:val="center" w:pos="4513"/>
        <w:tab w:val="right" w:pos="9026"/>
      </w:tabs>
    </w:pPr>
  </w:style>
  <w:style w:type="character" w:customStyle="1" w:styleId="HeaderChar">
    <w:name w:val="Header Char"/>
    <w:basedOn w:val="DefaultParagraphFont"/>
    <w:link w:val="Header"/>
    <w:rsid w:val="00D96A4E"/>
    <w:rPr>
      <w:sz w:val="24"/>
      <w:szCs w:val="24"/>
      <w:lang w:eastAsia="en-US"/>
    </w:rPr>
  </w:style>
  <w:style w:type="paragraph" w:styleId="Footer">
    <w:name w:val="footer"/>
    <w:basedOn w:val="Normal"/>
    <w:link w:val="FooterChar"/>
    <w:uiPriority w:val="99"/>
    <w:rsid w:val="00D96A4E"/>
    <w:pPr>
      <w:tabs>
        <w:tab w:val="center" w:pos="4513"/>
        <w:tab w:val="right" w:pos="9026"/>
      </w:tabs>
    </w:pPr>
  </w:style>
  <w:style w:type="character" w:customStyle="1" w:styleId="FooterChar">
    <w:name w:val="Footer Char"/>
    <w:basedOn w:val="DefaultParagraphFont"/>
    <w:link w:val="Footer"/>
    <w:uiPriority w:val="99"/>
    <w:rsid w:val="00D96A4E"/>
    <w:rPr>
      <w:sz w:val="24"/>
      <w:szCs w:val="24"/>
      <w:lang w:eastAsia="en-US"/>
    </w:rPr>
  </w:style>
  <w:style w:type="paragraph" w:styleId="FootnoteText">
    <w:name w:val="footnote text"/>
    <w:basedOn w:val="Normal"/>
    <w:link w:val="FootnoteTextChar"/>
    <w:rsid w:val="00BA582A"/>
    <w:rPr>
      <w:sz w:val="20"/>
      <w:szCs w:val="20"/>
    </w:rPr>
  </w:style>
  <w:style w:type="character" w:customStyle="1" w:styleId="FootnoteTextChar">
    <w:name w:val="Footnote Text Char"/>
    <w:basedOn w:val="DefaultParagraphFont"/>
    <w:link w:val="FootnoteText"/>
    <w:rsid w:val="00BA582A"/>
    <w:rPr>
      <w:lang w:eastAsia="en-US"/>
    </w:rPr>
  </w:style>
  <w:style w:type="character" w:styleId="FootnoteReference">
    <w:name w:val="footnote reference"/>
    <w:basedOn w:val="DefaultParagraphFont"/>
    <w:rsid w:val="00BA582A"/>
    <w:rPr>
      <w:vertAlign w:val="superscript"/>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link w:val="ListParagraph"/>
    <w:uiPriority w:val="34"/>
    <w:qFormat/>
    <w:locked/>
    <w:rsid w:val="00EA4AD8"/>
    <w:rPr>
      <w:sz w:val="24"/>
      <w:szCs w:val="24"/>
      <w:lang w:eastAsia="en-US"/>
    </w:rPr>
  </w:style>
  <w:style w:type="paragraph" w:styleId="TOC3">
    <w:name w:val="toc 3"/>
    <w:basedOn w:val="Normal"/>
    <w:next w:val="Normal"/>
    <w:autoRedefine/>
    <w:uiPriority w:val="39"/>
    <w:rsid w:val="00634BD5"/>
    <w:pPr>
      <w:spacing w:after="100"/>
      <w:ind w:left="480"/>
    </w:pPr>
  </w:style>
  <w:style w:type="paragraph" w:styleId="PlainText">
    <w:name w:val="Plain Text"/>
    <w:basedOn w:val="Normal"/>
    <w:link w:val="PlainTextChar"/>
    <w:uiPriority w:val="99"/>
    <w:unhideWhenUsed/>
    <w:rsid w:val="00116E9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16E9A"/>
    <w:rPr>
      <w:rFonts w:ascii="Calibri" w:eastAsiaTheme="minorHAnsi" w:hAnsi="Calibri" w:cstheme="minorBidi"/>
      <w:sz w:val="22"/>
      <w:szCs w:val="21"/>
      <w:lang w:eastAsia="en-US"/>
    </w:rPr>
  </w:style>
  <w:style w:type="character" w:styleId="CommentReference">
    <w:name w:val="annotation reference"/>
    <w:basedOn w:val="DefaultParagraphFont"/>
    <w:rsid w:val="001F7E87"/>
    <w:rPr>
      <w:sz w:val="16"/>
      <w:szCs w:val="16"/>
    </w:rPr>
  </w:style>
  <w:style w:type="paragraph" w:styleId="CommentText">
    <w:name w:val="annotation text"/>
    <w:basedOn w:val="Normal"/>
    <w:link w:val="CommentTextChar"/>
    <w:rsid w:val="001F7E87"/>
    <w:rPr>
      <w:sz w:val="20"/>
      <w:szCs w:val="20"/>
    </w:rPr>
  </w:style>
  <w:style w:type="character" w:customStyle="1" w:styleId="CommentTextChar">
    <w:name w:val="Comment Text Char"/>
    <w:basedOn w:val="DefaultParagraphFont"/>
    <w:link w:val="CommentText"/>
    <w:rsid w:val="001F7E87"/>
    <w:rPr>
      <w:lang w:eastAsia="en-US"/>
    </w:rPr>
  </w:style>
  <w:style w:type="paragraph" w:styleId="CommentSubject">
    <w:name w:val="annotation subject"/>
    <w:basedOn w:val="CommentText"/>
    <w:next w:val="CommentText"/>
    <w:link w:val="CommentSubjectChar"/>
    <w:rsid w:val="001F7E87"/>
    <w:rPr>
      <w:b/>
      <w:bCs/>
    </w:rPr>
  </w:style>
  <w:style w:type="character" w:customStyle="1" w:styleId="CommentSubjectChar">
    <w:name w:val="Comment Subject Char"/>
    <w:basedOn w:val="CommentTextChar"/>
    <w:link w:val="CommentSubject"/>
    <w:rsid w:val="001F7E87"/>
    <w:rPr>
      <w:b/>
      <w:bCs/>
      <w:lang w:eastAsia="en-US"/>
    </w:rPr>
  </w:style>
  <w:style w:type="character" w:customStyle="1" w:styleId="apple-converted-space">
    <w:name w:val="apple-converted-space"/>
    <w:basedOn w:val="DefaultParagraphFont"/>
    <w:rsid w:val="003871EF"/>
  </w:style>
  <w:style w:type="paragraph" w:styleId="NormalWeb">
    <w:name w:val="Normal (Web)"/>
    <w:basedOn w:val="Normal"/>
    <w:uiPriority w:val="99"/>
    <w:unhideWhenUsed/>
    <w:rsid w:val="00DD74B3"/>
    <w:pPr>
      <w:spacing w:before="100" w:beforeAutospacing="1" w:after="100" w:afterAutospacing="1"/>
    </w:pPr>
    <w:rPr>
      <w:lang w:eastAsia="en-AU"/>
    </w:rPr>
  </w:style>
  <w:style w:type="paragraph" w:styleId="ListBullet">
    <w:name w:val="List Bullet"/>
    <w:basedOn w:val="Normal"/>
    <w:uiPriority w:val="99"/>
    <w:unhideWhenUsed/>
    <w:qFormat/>
    <w:rsid w:val="004A418D"/>
    <w:pPr>
      <w:numPr>
        <w:numId w:val="31"/>
      </w:numPr>
      <w:spacing w:before="60" w:line="271" w:lineRule="auto"/>
      <w:ind w:left="227" w:hanging="227"/>
    </w:pPr>
    <w:rPr>
      <w:rFonts w:ascii="Arial" w:eastAsiaTheme="minorEastAsia" w:hAnsi="Arial" w:cstheme="minorBidi"/>
      <w:color w:val="262626" w:themeColor="text1" w:themeTint="D9"/>
      <w:sz w:val="20"/>
      <w:szCs w:val="21"/>
      <w:lang w:val="en-US" w:eastAsia="en-AU"/>
    </w:rPr>
  </w:style>
  <w:style w:type="paragraph" w:customStyle="1" w:styleId="Default">
    <w:name w:val="Default"/>
    <w:rsid w:val="00F9267A"/>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semiHidden/>
    <w:unhideWhenUsed/>
    <w:rsid w:val="00F26B7C"/>
    <w:rPr>
      <w:color w:val="800080" w:themeColor="followedHyperlink"/>
      <w:u w:val="single"/>
    </w:rPr>
  </w:style>
  <w:style w:type="paragraph" w:styleId="EndnoteText">
    <w:name w:val="endnote text"/>
    <w:basedOn w:val="Normal"/>
    <w:link w:val="EndnoteTextChar"/>
    <w:semiHidden/>
    <w:unhideWhenUsed/>
    <w:rsid w:val="00560ACA"/>
    <w:rPr>
      <w:sz w:val="20"/>
      <w:szCs w:val="20"/>
    </w:rPr>
  </w:style>
  <w:style w:type="character" w:customStyle="1" w:styleId="EndnoteTextChar">
    <w:name w:val="Endnote Text Char"/>
    <w:basedOn w:val="DefaultParagraphFont"/>
    <w:link w:val="EndnoteText"/>
    <w:semiHidden/>
    <w:rsid w:val="00560ACA"/>
    <w:rPr>
      <w:lang w:eastAsia="en-US"/>
    </w:rPr>
  </w:style>
  <w:style w:type="character" w:styleId="EndnoteReference">
    <w:name w:val="endnote reference"/>
    <w:basedOn w:val="DefaultParagraphFont"/>
    <w:semiHidden/>
    <w:unhideWhenUsed/>
    <w:rsid w:val="00560AC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Bullet" w:uiPriority="99"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902E66"/>
    <w:pPr>
      <w:keepNext/>
      <w:spacing w:before="240" w:after="60"/>
      <w:outlineLvl w:val="0"/>
    </w:pPr>
    <w:rPr>
      <w:rFonts w:asciiTheme="minorHAnsi" w:hAnsiTheme="minorHAnsi"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445D1A"/>
    <w:pPr>
      <w:spacing w:after="120"/>
      <w:outlineLvl w:val="2"/>
    </w:pPr>
    <w:rPr>
      <w:rFonts w:asciiTheme="minorHAnsi" w:hAnsiTheme="minorHAnsi"/>
      <w:b/>
      <w:i/>
    </w:rPr>
  </w:style>
  <w:style w:type="paragraph" w:styleId="Heading4">
    <w:name w:val="heading 4"/>
    <w:basedOn w:val="Normal"/>
    <w:next w:val="Normal"/>
    <w:qFormat/>
    <w:rsid w:val="00445D1A"/>
    <w:pPr>
      <w:outlineLvl w:val="3"/>
    </w:pPr>
    <w:rPr>
      <w:rFonts w:asciiTheme="minorHAnsi" w:hAnsiTheme="minorHAnsi"/>
      <w:b/>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uiPriority w:val="10"/>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uiPriority w:val="10"/>
    <w:rsid w:val="00A705AF"/>
    <w:rPr>
      <w:rFonts w:ascii="Arial" w:eastAsiaTheme="majorEastAsia" w:hAnsi="Arial" w:cstheme="majorBidi"/>
      <w:b/>
      <w:kern w:val="28"/>
      <w:sz w:val="32"/>
      <w:szCs w:val="52"/>
      <w:lang w:eastAsia="en-US"/>
    </w:rPr>
  </w:style>
  <w:style w:type="paragraph" w:styleId="NoSpacing">
    <w:name w:val="No Spacing"/>
    <w:link w:val="NoSpacingChar"/>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CV t"/>
    <w:basedOn w:val="Normal"/>
    <w:link w:val="ListParagraphChar"/>
    <w:uiPriority w:val="34"/>
    <w:qFormat/>
    <w:rsid w:val="00A4512D"/>
    <w:pPr>
      <w:ind w:left="720"/>
      <w:contextualSpacing/>
    </w:pPr>
  </w:style>
  <w:style w:type="paragraph" w:styleId="TOCHeading">
    <w:name w:val="TOC Heading"/>
    <w:basedOn w:val="Heading1"/>
    <w:next w:val="Normal"/>
    <w:uiPriority w:val="39"/>
    <w:unhideWhenUsed/>
    <w:qFormat/>
    <w:rsid w:val="00F45A0F"/>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styleId="BalloonText">
    <w:name w:val="Balloon Text"/>
    <w:basedOn w:val="Normal"/>
    <w:link w:val="BalloonTextChar"/>
    <w:rsid w:val="00F45A0F"/>
    <w:rPr>
      <w:rFonts w:ascii="Tahoma" w:hAnsi="Tahoma" w:cs="Tahoma"/>
      <w:sz w:val="16"/>
      <w:szCs w:val="16"/>
    </w:rPr>
  </w:style>
  <w:style w:type="character" w:customStyle="1" w:styleId="BalloonTextChar">
    <w:name w:val="Balloon Text Char"/>
    <w:basedOn w:val="DefaultParagraphFont"/>
    <w:link w:val="BalloonText"/>
    <w:rsid w:val="00F45A0F"/>
    <w:rPr>
      <w:rFonts w:ascii="Tahoma" w:hAnsi="Tahoma" w:cs="Tahoma"/>
      <w:sz w:val="16"/>
      <w:szCs w:val="16"/>
      <w:lang w:eastAsia="en-US"/>
    </w:rPr>
  </w:style>
  <w:style w:type="paragraph" w:styleId="TOC1">
    <w:name w:val="toc 1"/>
    <w:basedOn w:val="Normal"/>
    <w:next w:val="Normal"/>
    <w:autoRedefine/>
    <w:uiPriority w:val="39"/>
    <w:rsid w:val="00EF01E2"/>
    <w:pPr>
      <w:tabs>
        <w:tab w:val="right" w:leader="dot" w:pos="9016"/>
      </w:tabs>
      <w:spacing w:before="120" w:after="120"/>
    </w:pPr>
    <w:rPr>
      <w:rFonts w:asciiTheme="minorHAnsi" w:hAnsiTheme="minorHAnsi"/>
      <w:noProof/>
    </w:rPr>
  </w:style>
  <w:style w:type="character" w:styleId="Hyperlink">
    <w:name w:val="Hyperlink"/>
    <w:basedOn w:val="DefaultParagraphFont"/>
    <w:uiPriority w:val="99"/>
    <w:unhideWhenUsed/>
    <w:rsid w:val="00F45A0F"/>
    <w:rPr>
      <w:color w:val="0000FF" w:themeColor="hyperlink"/>
      <w:u w:val="single"/>
    </w:rPr>
  </w:style>
  <w:style w:type="character" w:customStyle="1" w:styleId="NoSpacingChar">
    <w:name w:val="No Spacing Char"/>
    <w:basedOn w:val="DefaultParagraphFont"/>
    <w:link w:val="NoSpacing"/>
    <w:uiPriority w:val="1"/>
    <w:rsid w:val="00AD0473"/>
    <w:rPr>
      <w:sz w:val="24"/>
      <w:szCs w:val="24"/>
      <w:lang w:eastAsia="en-US"/>
    </w:rPr>
  </w:style>
  <w:style w:type="paragraph" w:styleId="TOC2">
    <w:name w:val="toc 2"/>
    <w:basedOn w:val="Normal"/>
    <w:next w:val="Normal"/>
    <w:autoRedefine/>
    <w:uiPriority w:val="39"/>
    <w:rsid w:val="00EF01E2"/>
    <w:pPr>
      <w:tabs>
        <w:tab w:val="right" w:leader="dot" w:pos="9016"/>
      </w:tabs>
      <w:ind w:left="238"/>
    </w:pPr>
    <w:rPr>
      <w:rFonts w:asciiTheme="minorHAnsi" w:hAnsiTheme="minorHAnsi"/>
      <w:noProof/>
    </w:rPr>
  </w:style>
  <w:style w:type="paragraph" w:customStyle="1" w:styleId="boxpurple">
    <w:name w:val="box purple"/>
    <w:basedOn w:val="Normal"/>
    <w:link w:val="boxpurpleChar"/>
    <w:qFormat/>
    <w:rsid w:val="001A150D"/>
    <w:pPr>
      <w:pBdr>
        <w:top w:val="single" w:sz="4" w:space="5" w:color="auto"/>
        <w:left w:val="single" w:sz="4" w:space="5" w:color="auto"/>
        <w:bottom w:val="single" w:sz="4" w:space="5" w:color="auto"/>
        <w:right w:val="single" w:sz="4" w:space="5" w:color="auto"/>
      </w:pBdr>
      <w:shd w:val="clear" w:color="auto" w:fill="FFFFFF" w:themeFill="background1"/>
      <w:spacing w:before="120" w:after="120"/>
    </w:pPr>
    <w:rPr>
      <w:rFonts w:asciiTheme="minorHAnsi" w:eastAsiaTheme="minorEastAsia" w:hAnsiTheme="minorHAnsi" w:cstheme="minorBidi"/>
      <w:color w:val="FFFFFF" w:themeColor="background1"/>
      <w:sz w:val="18"/>
      <w:szCs w:val="22"/>
    </w:rPr>
  </w:style>
  <w:style w:type="character" w:customStyle="1" w:styleId="boxpurpleChar">
    <w:name w:val="box purple Char"/>
    <w:basedOn w:val="DefaultParagraphFont"/>
    <w:link w:val="boxpurple"/>
    <w:rsid w:val="001A150D"/>
    <w:rPr>
      <w:rFonts w:asciiTheme="minorHAnsi" w:eastAsiaTheme="minorEastAsia" w:hAnsiTheme="minorHAnsi" w:cstheme="minorBidi"/>
      <w:color w:val="FFFFFF" w:themeColor="background1"/>
      <w:sz w:val="18"/>
      <w:szCs w:val="22"/>
      <w:shd w:val="clear" w:color="auto" w:fill="FFFFFF" w:themeFill="background1"/>
      <w:lang w:eastAsia="en-US"/>
    </w:rPr>
  </w:style>
  <w:style w:type="table" w:styleId="TableGrid">
    <w:name w:val="Table Grid"/>
    <w:basedOn w:val="TableNormal"/>
    <w:uiPriority w:val="59"/>
    <w:rsid w:val="00BE367A"/>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96A4E"/>
    <w:pPr>
      <w:tabs>
        <w:tab w:val="center" w:pos="4513"/>
        <w:tab w:val="right" w:pos="9026"/>
      </w:tabs>
    </w:pPr>
  </w:style>
  <w:style w:type="character" w:customStyle="1" w:styleId="HeaderChar">
    <w:name w:val="Header Char"/>
    <w:basedOn w:val="DefaultParagraphFont"/>
    <w:link w:val="Header"/>
    <w:rsid w:val="00D96A4E"/>
    <w:rPr>
      <w:sz w:val="24"/>
      <w:szCs w:val="24"/>
      <w:lang w:eastAsia="en-US"/>
    </w:rPr>
  </w:style>
  <w:style w:type="paragraph" w:styleId="Footer">
    <w:name w:val="footer"/>
    <w:basedOn w:val="Normal"/>
    <w:link w:val="FooterChar"/>
    <w:uiPriority w:val="99"/>
    <w:rsid w:val="00D96A4E"/>
    <w:pPr>
      <w:tabs>
        <w:tab w:val="center" w:pos="4513"/>
        <w:tab w:val="right" w:pos="9026"/>
      </w:tabs>
    </w:pPr>
  </w:style>
  <w:style w:type="character" w:customStyle="1" w:styleId="FooterChar">
    <w:name w:val="Footer Char"/>
    <w:basedOn w:val="DefaultParagraphFont"/>
    <w:link w:val="Footer"/>
    <w:uiPriority w:val="99"/>
    <w:rsid w:val="00D96A4E"/>
    <w:rPr>
      <w:sz w:val="24"/>
      <w:szCs w:val="24"/>
      <w:lang w:eastAsia="en-US"/>
    </w:rPr>
  </w:style>
  <w:style w:type="paragraph" w:styleId="FootnoteText">
    <w:name w:val="footnote text"/>
    <w:basedOn w:val="Normal"/>
    <w:link w:val="FootnoteTextChar"/>
    <w:rsid w:val="00BA582A"/>
    <w:rPr>
      <w:sz w:val="20"/>
      <w:szCs w:val="20"/>
    </w:rPr>
  </w:style>
  <w:style w:type="character" w:customStyle="1" w:styleId="FootnoteTextChar">
    <w:name w:val="Footnote Text Char"/>
    <w:basedOn w:val="DefaultParagraphFont"/>
    <w:link w:val="FootnoteText"/>
    <w:rsid w:val="00BA582A"/>
    <w:rPr>
      <w:lang w:eastAsia="en-US"/>
    </w:rPr>
  </w:style>
  <w:style w:type="character" w:styleId="FootnoteReference">
    <w:name w:val="footnote reference"/>
    <w:basedOn w:val="DefaultParagraphFont"/>
    <w:rsid w:val="00BA582A"/>
    <w:rPr>
      <w:vertAlign w:val="superscript"/>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link w:val="ListParagraph"/>
    <w:uiPriority w:val="34"/>
    <w:qFormat/>
    <w:locked/>
    <w:rsid w:val="00EA4AD8"/>
    <w:rPr>
      <w:sz w:val="24"/>
      <w:szCs w:val="24"/>
      <w:lang w:eastAsia="en-US"/>
    </w:rPr>
  </w:style>
  <w:style w:type="paragraph" w:styleId="TOC3">
    <w:name w:val="toc 3"/>
    <w:basedOn w:val="Normal"/>
    <w:next w:val="Normal"/>
    <w:autoRedefine/>
    <w:uiPriority w:val="39"/>
    <w:rsid w:val="00634BD5"/>
    <w:pPr>
      <w:spacing w:after="100"/>
      <w:ind w:left="480"/>
    </w:pPr>
  </w:style>
  <w:style w:type="paragraph" w:styleId="PlainText">
    <w:name w:val="Plain Text"/>
    <w:basedOn w:val="Normal"/>
    <w:link w:val="PlainTextChar"/>
    <w:uiPriority w:val="99"/>
    <w:unhideWhenUsed/>
    <w:rsid w:val="00116E9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16E9A"/>
    <w:rPr>
      <w:rFonts w:ascii="Calibri" w:eastAsiaTheme="minorHAnsi" w:hAnsi="Calibri" w:cstheme="minorBidi"/>
      <w:sz w:val="22"/>
      <w:szCs w:val="21"/>
      <w:lang w:eastAsia="en-US"/>
    </w:rPr>
  </w:style>
  <w:style w:type="character" w:styleId="CommentReference">
    <w:name w:val="annotation reference"/>
    <w:basedOn w:val="DefaultParagraphFont"/>
    <w:rsid w:val="001F7E87"/>
    <w:rPr>
      <w:sz w:val="16"/>
      <w:szCs w:val="16"/>
    </w:rPr>
  </w:style>
  <w:style w:type="paragraph" w:styleId="CommentText">
    <w:name w:val="annotation text"/>
    <w:basedOn w:val="Normal"/>
    <w:link w:val="CommentTextChar"/>
    <w:rsid w:val="001F7E87"/>
    <w:rPr>
      <w:sz w:val="20"/>
      <w:szCs w:val="20"/>
    </w:rPr>
  </w:style>
  <w:style w:type="character" w:customStyle="1" w:styleId="CommentTextChar">
    <w:name w:val="Comment Text Char"/>
    <w:basedOn w:val="DefaultParagraphFont"/>
    <w:link w:val="CommentText"/>
    <w:rsid w:val="001F7E87"/>
    <w:rPr>
      <w:lang w:eastAsia="en-US"/>
    </w:rPr>
  </w:style>
  <w:style w:type="paragraph" w:styleId="CommentSubject">
    <w:name w:val="annotation subject"/>
    <w:basedOn w:val="CommentText"/>
    <w:next w:val="CommentText"/>
    <w:link w:val="CommentSubjectChar"/>
    <w:rsid w:val="001F7E87"/>
    <w:rPr>
      <w:b/>
      <w:bCs/>
    </w:rPr>
  </w:style>
  <w:style w:type="character" w:customStyle="1" w:styleId="CommentSubjectChar">
    <w:name w:val="Comment Subject Char"/>
    <w:basedOn w:val="CommentTextChar"/>
    <w:link w:val="CommentSubject"/>
    <w:rsid w:val="001F7E87"/>
    <w:rPr>
      <w:b/>
      <w:bCs/>
      <w:lang w:eastAsia="en-US"/>
    </w:rPr>
  </w:style>
  <w:style w:type="character" w:customStyle="1" w:styleId="apple-converted-space">
    <w:name w:val="apple-converted-space"/>
    <w:basedOn w:val="DefaultParagraphFont"/>
    <w:rsid w:val="003871EF"/>
  </w:style>
  <w:style w:type="paragraph" w:styleId="NormalWeb">
    <w:name w:val="Normal (Web)"/>
    <w:basedOn w:val="Normal"/>
    <w:uiPriority w:val="99"/>
    <w:unhideWhenUsed/>
    <w:rsid w:val="00DD74B3"/>
    <w:pPr>
      <w:spacing w:before="100" w:beforeAutospacing="1" w:after="100" w:afterAutospacing="1"/>
    </w:pPr>
    <w:rPr>
      <w:lang w:eastAsia="en-AU"/>
    </w:rPr>
  </w:style>
  <w:style w:type="paragraph" w:styleId="ListBullet">
    <w:name w:val="List Bullet"/>
    <w:basedOn w:val="Normal"/>
    <w:uiPriority w:val="99"/>
    <w:unhideWhenUsed/>
    <w:qFormat/>
    <w:rsid w:val="004A418D"/>
    <w:pPr>
      <w:numPr>
        <w:numId w:val="31"/>
      </w:numPr>
      <w:spacing w:before="60" w:line="271" w:lineRule="auto"/>
      <w:ind w:left="227" w:hanging="227"/>
    </w:pPr>
    <w:rPr>
      <w:rFonts w:ascii="Arial" w:eastAsiaTheme="minorEastAsia" w:hAnsi="Arial" w:cstheme="minorBidi"/>
      <w:color w:val="262626" w:themeColor="text1" w:themeTint="D9"/>
      <w:sz w:val="20"/>
      <w:szCs w:val="21"/>
      <w:lang w:val="en-US" w:eastAsia="en-AU"/>
    </w:rPr>
  </w:style>
  <w:style w:type="paragraph" w:customStyle="1" w:styleId="Default">
    <w:name w:val="Default"/>
    <w:rsid w:val="00F9267A"/>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semiHidden/>
    <w:unhideWhenUsed/>
    <w:rsid w:val="00F26B7C"/>
    <w:rPr>
      <w:color w:val="800080" w:themeColor="followedHyperlink"/>
      <w:u w:val="single"/>
    </w:rPr>
  </w:style>
  <w:style w:type="paragraph" w:styleId="EndnoteText">
    <w:name w:val="endnote text"/>
    <w:basedOn w:val="Normal"/>
    <w:link w:val="EndnoteTextChar"/>
    <w:semiHidden/>
    <w:unhideWhenUsed/>
    <w:rsid w:val="00560ACA"/>
    <w:rPr>
      <w:sz w:val="20"/>
      <w:szCs w:val="20"/>
    </w:rPr>
  </w:style>
  <w:style w:type="character" w:customStyle="1" w:styleId="EndnoteTextChar">
    <w:name w:val="Endnote Text Char"/>
    <w:basedOn w:val="DefaultParagraphFont"/>
    <w:link w:val="EndnoteText"/>
    <w:semiHidden/>
    <w:rsid w:val="00560ACA"/>
    <w:rPr>
      <w:lang w:eastAsia="en-US"/>
    </w:rPr>
  </w:style>
  <w:style w:type="character" w:styleId="EndnoteReference">
    <w:name w:val="endnote reference"/>
    <w:basedOn w:val="DefaultParagraphFont"/>
    <w:semiHidden/>
    <w:unhideWhenUsed/>
    <w:rsid w:val="00560A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075">
      <w:bodyDiv w:val="1"/>
      <w:marLeft w:val="0"/>
      <w:marRight w:val="0"/>
      <w:marTop w:val="0"/>
      <w:marBottom w:val="0"/>
      <w:divBdr>
        <w:top w:val="none" w:sz="0" w:space="0" w:color="auto"/>
        <w:left w:val="none" w:sz="0" w:space="0" w:color="auto"/>
        <w:bottom w:val="none" w:sz="0" w:space="0" w:color="auto"/>
        <w:right w:val="none" w:sz="0" w:space="0" w:color="auto"/>
      </w:divBdr>
    </w:div>
    <w:div w:id="91778630">
      <w:bodyDiv w:val="1"/>
      <w:marLeft w:val="0"/>
      <w:marRight w:val="0"/>
      <w:marTop w:val="0"/>
      <w:marBottom w:val="0"/>
      <w:divBdr>
        <w:top w:val="none" w:sz="0" w:space="0" w:color="auto"/>
        <w:left w:val="none" w:sz="0" w:space="0" w:color="auto"/>
        <w:bottom w:val="none" w:sz="0" w:space="0" w:color="auto"/>
        <w:right w:val="none" w:sz="0" w:space="0" w:color="auto"/>
      </w:divBdr>
    </w:div>
    <w:div w:id="360060347">
      <w:bodyDiv w:val="1"/>
      <w:marLeft w:val="0"/>
      <w:marRight w:val="0"/>
      <w:marTop w:val="0"/>
      <w:marBottom w:val="0"/>
      <w:divBdr>
        <w:top w:val="none" w:sz="0" w:space="0" w:color="auto"/>
        <w:left w:val="none" w:sz="0" w:space="0" w:color="auto"/>
        <w:bottom w:val="none" w:sz="0" w:space="0" w:color="auto"/>
        <w:right w:val="none" w:sz="0" w:space="0" w:color="auto"/>
      </w:divBdr>
    </w:div>
    <w:div w:id="655694220">
      <w:bodyDiv w:val="1"/>
      <w:marLeft w:val="0"/>
      <w:marRight w:val="0"/>
      <w:marTop w:val="0"/>
      <w:marBottom w:val="0"/>
      <w:divBdr>
        <w:top w:val="none" w:sz="0" w:space="0" w:color="auto"/>
        <w:left w:val="none" w:sz="0" w:space="0" w:color="auto"/>
        <w:bottom w:val="none" w:sz="0" w:space="0" w:color="auto"/>
        <w:right w:val="none" w:sz="0" w:space="0" w:color="auto"/>
      </w:divBdr>
    </w:div>
    <w:div w:id="723530826">
      <w:bodyDiv w:val="1"/>
      <w:marLeft w:val="0"/>
      <w:marRight w:val="0"/>
      <w:marTop w:val="0"/>
      <w:marBottom w:val="0"/>
      <w:divBdr>
        <w:top w:val="none" w:sz="0" w:space="0" w:color="auto"/>
        <w:left w:val="none" w:sz="0" w:space="0" w:color="auto"/>
        <w:bottom w:val="none" w:sz="0" w:space="0" w:color="auto"/>
        <w:right w:val="none" w:sz="0" w:space="0" w:color="auto"/>
      </w:divBdr>
    </w:div>
    <w:div w:id="1103576323">
      <w:bodyDiv w:val="1"/>
      <w:marLeft w:val="0"/>
      <w:marRight w:val="0"/>
      <w:marTop w:val="0"/>
      <w:marBottom w:val="0"/>
      <w:divBdr>
        <w:top w:val="none" w:sz="0" w:space="0" w:color="auto"/>
        <w:left w:val="none" w:sz="0" w:space="0" w:color="auto"/>
        <w:bottom w:val="none" w:sz="0" w:space="0" w:color="auto"/>
        <w:right w:val="none" w:sz="0" w:space="0" w:color="auto"/>
      </w:divBdr>
    </w:div>
    <w:div w:id="1177114422">
      <w:bodyDiv w:val="1"/>
      <w:marLeft w:val="0"/>
      <w:marRight w:val="0"/>
      <w:marTop w:val="0"/>
      <w:marBottom w:val="0"/>
      <w:divBdr>
        <w:top w:val="none" w:sz="0" w:space="0" w:color="auto"/>
        <w:left w:val="none" w:sz="0" w:space="0" w:color="auto"/>
        <w:bottom w:val="none" w:sz="0" w:space="0" w:color="auto"/>
        <w:right w:val="none" w:sz="0" w:space="0" w:color="auto"/>
      </w:divBdr>
    </w:div>
    <w:div w:id="1254120907">
      <w:bodyDiv w:val="1"/>
      <w:marLeft w:val="0"/>
      <w:marRight w:val="0"/>
      <w:marTop w:val="0"/>
      <w:marBottom w:val="0"/>
      <w:divBdr>
        <w:top w:val="none" w:sz="0" w:space="0" w:color="auto"/>
        <w:left w:val="none" w:sz="0" w:space="0" w:color="auto"/>
        <w:bottom w:val="none" w:sz="0" w:space="0" w:color="auto"/>
        <w:right w:val="none" w:sz="0" w:space="0" w:color="auto"/>
      </w:divBdr>
    </w:div>
    <w:div w:id="1265920691">
      <w:bodyDiv w:val="1"/>
      <w:marLeft w:val="0"/>
      <w:marRight w:val="0"/>
      <w:marTop w:val="0"/>
      <w:marBottom w:val="0"/>
      <w:divBdr>
        <w:top w:val="none" w:sz="0" w:space="0" w:color="auto"/>
        <w:left w:val="none" w:sz="0" w:space="0" w:color="auto"/>
        <w:bottom w:val="none" w:sz="0" w:space="0" w:color="auto"/>
        <w:right w:val="none" w:sz="0" w:space="0" w:color="auto"/>
      </w:divBdr>
      <w:divsChild>
        <w:div w:id="696321039">
          <w:marLeft w:val="274"/>
          <w:marRight w:val="0"/>
          <w:marTop w:val="0"/>
          <w:marBottom w:val="0"/>
          <w:divBdr>
            <w:top w:val="none" w:sz="0" w:space="0" w:color="auto"/>
            <w:left w:val="none" w:sz="0" w:space="0" w:color="auto"/>
            <w:bottom w:val="none" w:sz="0" w:space="0" w:color="auto"/>
            <w:right w:val="none" w:sz="0" w:space="0" w:color="auto"/>
          </w:divBdr>
        </w:div>
      </w:divsChild>
    </w:div>
    <w:div w:id="1267888640">
      <w:bodyDiv w:val="1"/>
      <w:marLeft w:val="0"/>
      <w:marRight w:val="0"/>
      <w:marTop w:val="0"/>
      <w:marBottom w:val="0"/>
      <w:divBdr>
        <w:top w:val="none" w:sz="0" w:space="0" w:color="auto"/>
        <w:left w:val="none" w:sz="0" w:space="0" w:color="auto"/>
        <w:bottom w:val="none" w:sz="0" w:space="0" w:color="auto"/>
        <w:right w:val="none" w:sz="0" w:space="0" w:color="auto"/>
      </w:divBdr>
    </w:div>
    <w:div w:id="1902791310">
      <w:bodyDiv w:val="1"/>
      <w:marLeft w:val="0"/>
      <w:marRight w:val="0"/>
      <w:marTop w:val="0"/>
      <w:marBottom w:val="0"/>
      <w:divBdr>
        <w:top w:val="none" w:sz="0" w:space="0" w:color="auto"/>
        <w:left w:val="none" w:sz="0" w:space="0" w:color="auto"/>
        <w:bottom w:val="none" w:sz="0" w:space="0" w:color="auto"/>
        <w:right w:val="none" w:sz="0" w:space="0" w:color="auto"/>
      </w:divBdr>
    </w:div>
    <w:div w:id="210568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ildlifehealthaustralia.com.au/Home.aspx" TargetMode="External"/><Relationship Id="rId18" Type="http://schemas.openxmlformats.org/officeDocument/2006/relationships/hyperlink" Target="https://www.safetyandquality.gov.au/our-work/shared-decision-making/patient-decision-aids/" TargetMode="External"/><Relationship Id="rId26" Type="http://schemas.openxmlformats.org/officeDocument/2006/relationships/hyperlink" Target="http://www.ava.com.au/cattle/biocheck-public" TargetMode="External"/><Relationship Id="rId3" Type="http://schemas.openxmlformats.org/officeDocument/2006/relationships/numbering" Target="numbering.xml"/><Relationship Id="rId21" Type="http://schemas.openxmlformats.org/officeDocument/2006/relationships/hyperlink" Target="http://www.ava.com.au/biosecurity-guidelines" TargetMode="External"/><Relationship Id="rId34"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http://www.amr.gov.au/" TargetMode="External"/><Relationship Id="rId17" Type="http://schemas.openxmlformats.org/officeDocument/2006/relationships/hyperlink" Target="https://www.agric.wa.gov.au/livestock-biosecurity/preventing-antimicrobial-resistance" TargetMode="External"/><Relationship Id="rId25" Type="http://schemas.openxmlformats.org/officeDocument/2006/relationships/hyperlink" Target="http://www.ava.com.au/biosecurity-guidelines" TargetMode="External"/><Relationship Id="rId2" Type="http://schemas.openxmlformats.org/officeDocument/2006/relationships/customXml" Target="../customXml/item2.xml"/><Relationship Id="rId16" Type="http://schemas.openxmlformats.org/officeDocument/2006/relationships/hyperlink" Target="http://agriculture.vic.gov.au/amr" TargetMode="External"/><Relationship Id="rId20" Type="http://schemas.openxmlformats.org/officeDocument/2006/relationships/hyperlink" Target="http://www.agriculture.gov.au/import/goods/food/notices/ifn-13-1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www.ava.com.au/ams" TargetMode="External"/><Relationship Id="rId5" Type="http://schemas.microsoft.com/office/2007/relationships/stylesWithEffects" Target="stylesWithEffects.xml"/><Relationship Id="rId15" Type="http://schemas.openxmlformats.org/officeDocument/2006/relationships/hyperlink" Target="http://www.safetyandquality.gov.au/antimicrobial-use-and-resistance-in-australia/2017-report" TargetMode="External"/><Relationship Id="rId23" Type="http://schemas.openxmlformats.org/officeDocument/2006/relationships/hyperlink" Target="https://www.creid.org.au/"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ava.com.au/am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safetyandquality.gov.au/antimicrobial-use-and-resistance-in-australia/2017-report/" TargetMode="External"/><Relationship Id="rId22" Type="http://schemas.openxmlformats.org/officeDocument/2006/relationships/hyperlink" Target="http://www.ava.com.au/cattle/biocheck-public" TargetMode="External"/><Relationship Id="rId27" Type="http://schemas.openxmlformats.org/officeDocument/2006/relationships/footer" Target="footer1.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356CB5-0166-476A-B333-6B7867C99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11661</Words>
  <Characters>72372</Characters>
  <Application>Microsoft Office Word</Application>
  <DocSecurity>4</DocSecurity>
  <Lines>603</Lines>
  <Paragraphs>167</Paragraphs>
  <ScaleCrop>false</ScaleCrop>
  <HeadingPairs>
    <vt:vector size="2" baseType="variant">
      <vt:variant>
        <vt:lpstr>Title</vt:lpstr>
      </vt:variant>
      <vt:variant>
        <vt:i4>1</vt:i4>
      </vt:variant>
    </vt:vector>
  </HeadingPairs>
  <TitlesOfParts>
    <vt:vector size="1" baseType="lpstr">
      <vt:lpstr>Australia’s First National Antimicrobial Resistance Strategy 2015-2019</vt:lpstr>
    </vt:vector>
  </TitlesOfParts>
  <Company>Dept Health And Ageing</Company>
  <LinksUpToDate>false</LinksUpToDate>
  <CharactersWithSpaces>83866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First National Antimicrobial Resistance Strategy 2015-2019</dc:title>
  <dc:subject>Progress Report</dc:subject>
  <dc:creator>Ibrahim Aaliya</dc:creator>
  <cp:lastModifiedBy>LAU, Lisa</cp:lastModifiedBy>
  <cp:revision>2</cp:revision>
  <cp:lastPrinted>2017-11-10T00:56:00Z</cp:lastPrinted>
  <dcterms:created xsi:type="dcterms:W3CDTF">2017-11-10T06:13:00Z</dcterms:created>
  <dcterms:modified xsi:type="dcterms:W3CDTF">2017-11-10T06:13:00Z</dcterms:modified>
</cp:coreProperties>
</file>